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440115-2022-03768</w:t>
      </w:r>
    </w:p>
    <w:p>
      <w:pPr>
        <w:jc w:val="center"/>
      </w:pPr>
      <w:r>
        <w:rPr>
          <w:b/>
          <w:sz w:val="24"/>
        </w:rPr>
        <w:t>采购项目编号：</w:t>
      </w:r>
      <w:r>
        <w:rPr>
          <w:b/>
          <w:sz w:val="24"/>
        </w:rPr>
        <w:t>C001011-20220071</w:t>
      </w:r>
    </w:p>
    <w:p>
      <w:pPr>
        <w:jc w:val="center"/>
      </w:pPr>
      <w:r>
        <w:rPr>
          <w:b/>
          <w:sz w:val="24"/>
        </w:rPr>
        <w:t>项目名称：</w:t>
      </w:r>
      <w:r>
        <w:rPr>
          <w:b/>
          <w:sz w:val="24"/>
        </w:rPr>
        <w:t>大湾区科学论坛运营机构办公场所租赁</w:t>
      </w:r>
    </w:p>
    <w:p>
      <w:pPr>
        <w:jc w:val="center"/>
      </w:pPr>
      <w:r>
        <w:rPr>
          <w:b/>
          <w:sz w:val="24"/>
        </w:rPr>
        <w:t>采购人：</w:t>
      </w:r>
      <w:r>
        <w:rPr>
          <w:b/>
          <w:sz w:val="24"/>
        </w:rPr>
        <w:t>广州南沙开发区科技局、南沙区科技局</w:t>
      </w:r>
    </w:p>
    <w:p>
      <w:pPr>
        <w:jc w:val="center"/>
      </w:pPr>
      <w:r>
        <w:rPr>
          <w:b/>
          <w:sz w:val="24"/>
        </w:rPr>
        <w:t>采购代理机构：</w:t>
      </w:r>
      <w:r>
        <w:rPr>
          <w:b/>
          <w:sz w:val="24"/>
        </w:rPr>
        <w:t>广东国利招标有限公司</w:t>
      </w:r>
    </w:p>
    <w:p>
      <w:pPr>
        <w:ind w:firstLine="480"/>
      </w:pPr>
    </w:p>
    <w:p>
      <w:r>
        <w:rPr/>
        <w:t xml:space="preserve"> </w:t>
      </w:r>
    </w:p>
    <w:p/>
    <w:p>
      <w:pPr>
        <w:jc w:val="center"/>
      </w:pPr>
      <w:r>
        <w:rPr>
          <w:b/>
          <w:sz w:val="36"/>
        </w:rPr>
        <w:t>第一章投标邀请</w:t>
      </w:r>
    </w:p>
    <w:p>
      <w:pPr>
        <w:ind w:firstLine="480"/>
      </w:pPr>
      <w:r>
        <w:rPr/>
        <w:t>广东国利招标有限公司</w:t>
      </w:r>
      <w:r>
        <w:rPr/>
        <w:t>受</w:t>
      </w:r>
      <w:r>
        <w:rPr/>
        <w:t>广州南沙开发区科技局、南沙区科技局</w:t>
      </w:r>
      <w:r>
        <w:rPr/>
        <w:t>的委托，采用</w:t>
      </w:r>
      <w:r>
        <w:rPr/>
        <w:t>公开招标</w:t>
      </w:r>
      <w:r>
        <w:rPr/>
        <w:t>方式组织采购</w:t>
      </w:r>
      <w:r>
        <w:rPr/>
        <w:t>大湾区科学论坛运营机构办公场所租赁</w:t>
      </w:r>
      <w:r>
        <w:rPr/>
        <w:t>。欢迎符合资格条件的国内供应商参加投标。</w:t>
      </w:r>
    </w:p>
    <w:p>
      <w:r>
        <w:rPr>
          <w:b/>
          <w:sz w:val="28"/>
        </w:rPr>
        <w:t>一.项目概述</w:t>
      </w:r>
    </w:p>
    <w:p>
      <w:r>
        <w:rPr>
          <w:b/>
          <w:sz w:val="24"/>
        </w:rPr>
        <w:t>1.名称与编号</w:t>
      </w:r>
    </w:p>
    <w:p>
      <w:pPr>
        <w:ind w:firstLine="480"/>
      </w:pPr>
      <w:r>
        <w:rPr/>
        <w:t>项目名称：</w:t>
      </w:r>
      <w:r>
        <w:rPr/>
        <w:t>大湾区科学论坛运营机构办公场所租赁</w:t>
      </w:r>
    </w:p>
    <w:p>
      <w:pPr>
        <w:ind w:firstLine="480"/>
      </w:pPr>
      <w:r>
        <w:rPr/>
        <w:t>采购计划编号：</w:t>
      </w:r>
      <w:r>
        <w:rPr/>
        <w:t>440115-2022-03768</w:t>
      </w:r>
    </w:p>
    <w:p>
      <w:pPr>
        <w:ind w:firstLine="480"/>
      </w:pPr>
      <w:r>
        <w:rPr/>
        <w:t>采购项目编号：</w:t>
      </w:r>
      <w:r>
        <w:rPr/>
        <w:t>C001011-20220071</w:t>
      </w:r>
    </w:p>
    <w:p>
      <w:pPr>
        <w:ind w:firstLine="480"/>
      </w:pPr>
      <w:r>
        <w:rPr/>
        <w:t>采购方式：</w:t>
      </w:r>
      <w:r>
        <w:rPr/>
        <w:t>公开招标</w:t>
      </w:r>
    </w:p>
    <w:p>
      <w:pPr>
        <w:ind w:firstLine="480"/>
      </w:pPr>
      <w:r>
        <w:rPr/>
        <w:t>预算金额：</w:t>
      </w:r>
      <w:r>
        <w:rPr/>
        <w:t>7,000,000.00</w:t>
      </w:r>
      <w:r>
        <w:rPr/>
        <w:t>元</w:t>
      </w:r>
    </w:p>
    <w:p>
      <w:r>
        <w:rPr>
          <w:b/>
          <w:sz w:val="24"/>
        </w:rPr>
        <w:t>2.项目内容及需求情况（采购项目技术规格、参数及要求）</w:t>
      </w:r>
    </w:p>
    <w:p>
      <w:pPr>
        <w:ind w:firstLine="480"/>
      </w:pPr>
    </w:p>
    <w:p/>
    <w:p>
      <w:r>
        <w:rPr/>
        <w:t>采购包1(大湾区科学论坛秘书处办公场所租赁):</w:t>
      </w:r>
    </w:p>
    <w:p>
      <w:r>
        <w:rPr/>
        <w:t>采购包预算金额：7,000,000.00元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房屋租赁服务</w:t>
            </w:r>
          </w:p>
        </w:tc>
        <w:tc>
          <w:tcPr>
            <w:tcW w:type="dxa" w:w="2136"/>
          </w:tcPr>
          <w:p>
            <w:r>
              <w:rPr/>
              <w:t>大湾区科学论坛秘书处办公场所租赁</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合同履行期限：3 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1）具有独立承担民事责任的能力：依据《投标函》及其附件，分支机构投标的，还须提供分支机构的营业执照（执业许可证）扫描件及总公司（总所）出具给分支机构的授权书。</w:t>
      </w:r>
    </w:p>
    <w:p/>
    <w:p>
      <w:r>
        <w:rPr/>
        <w:t>2）有依法缴纳税收和社会保障资金的良好记录：依据《投标函》；</w:t>
      </w:r>
    </w:p>
    <w:p/>
    <w:p>
      <w:r>
        <w:rPr/>
        <w:t>3）具有良好的商业信誉和健全的财务会计制度：依据《投标函》；</w:t>
      </w:r>
    </w:p>
    <w:p/>
    <w:p>
      <w:r>
        <w:rPr/>
        <w:t>4）履行合同所必需的设备和专业技术能力：依据《投标函》；</w:t>
      </w:r>
    </w:p>
    <w:p/>
    <w:p>
      <w:r>
        <w:rPr/>
        <w:t>5）参加采购活动前3年内，在经营活动中没有重大违法记录：依据《投标函》。</w:t>
      </w:r>
    </w:p>
    <w:p/>
    <w:p>
      <w:r>
        <w:rPr>
          <w:b/>
          <w:sz w:val="24"/>
        </w:rPr>
        <w:t>2.落实政府采购政策需满足的资格要求：</w:t>
      </w:r>
    </w:p>
    <w:p>
      <w:pPr>
        <w:ind w:firstLine="480"/>
      </w:pPr>
    </w:p>
    <w:p>
      <w:pPr>
        <w:jc w:val="left"/>
      </w:pPr>
    </w:p>
    <w:p>
      <w:r>
        <w:rPr/>
        <w:t>采购包1（大湾区科学论坛秘书处办公场所租赁）：</w:t>
      </w:r>
      <w:r>
        <w:rPr/>
        <w:t>采购包不属于专门面向中小企业</w:t>
      </w:r>
    </w:p>
    <w:p/>
    <w:p>
      <w:r>
        <w:rPr>
          <w:b/>
          <w:sz w:val="24"/>
        </w:rPr>
        <w:t>3.本项目特定的资格要求：</w:t>
      </w:r>
    </w:p>
    <w:p>
      <w:pPr>
        <w:ind w:firstLine="480"/>
      </w:pPr>
    </w:p>
    <w:p/>
    <w:p>
      <w:r>
        <w:rPr/>
        <w:t>采购包1（大湾区科学论坛秘书处办公场所租赁）：</w:t>
      </w:r>
    </w:p>
    <w:p/>
    <w:p>
      <w:r>
        <w:rPr/>
        <w:t>1)供应商未被列入“信用中国”网站(www.creditchina.gov.cn)“记录失信被执行人或重大税收违法案件当事人名单（即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3)投标人必须提供《公平竞争承诺书》原件</w:t>
      </w:r>
    </w:p>
    <w:p/>
    <w:p>
      <w:r>
        <w:rPr/>
        <w:t>4)本项目不接受联合体投标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广州南沙开发区科技局、南沙区科技局</w:t>
      </w:r>
    </w:p>
    <w:p>
      <w:pPr>
        <w:ind w:firstLine="480"/>
      </w:pPr>
      <w:r>
        <w:rPr/>
        <w:t>地址：</w:t>
      </w:r>
      <w:r>
        <w:rPr/>
        <w:t>/</w:t>
      </w:r>
    </w:p>
    <w:p>
      <w:pPr>
        <w:ind w:firstLine="480"/>
      </w:pPr>
      <w:r>
        <w:rPr/>
        <w:t>联系方式：</w:t>
      </w:r>
      <w:r>
        <w:rPr/>
        <w:t>/</w:t>
      </w:r>
    </w:p>
    <w:p>
      <w:r>
        <w:rPr>
          <w:b/>
          <w:sz w:val="24"/>
        </w:rPr>
        <w:t>2.采购代理机构信息</w:t>
      </w:r>
    </w:p>
    <w:p>
      <w:pPr>
        <w:ind w:firstLine="480"/>
      </w:pPr>
      <w:r>
        <w:rPr/>
        <w:t>名称：</w:t>
      </w:r>
      <w:r>
        <w:rPr/>
        <w:t>广东国利招标有限公司</w:t>
      </w:r>
    </w:p>
    <w:p>
      <w:pPr>
        <w:ind w:firstLine="480"/>
      </w:pPr>
      <w:r>
        <w:rPr/>
        <w:t>地址：</w:t>
      </w:r>
      <w:r>
        <w:rPr/>
        <w:t>广州市天河区珠江新城保利克洛维中盈大厦22楼2202室</w:t>
      </w:r>
    </w:p>
    <w:p>
      <w:pPr>
        <w:ind w:firstLine="480"/>
      </w:pPr>
      <w:r>
        <w:rPr/>
        <w:t>联系方式：</w:t>
      </w:r>
      <w:r>
        <w:rPr/>
        <w:t>020-85200402</w:t>
      </w:r>
    </w:p>
    <w:p>
      <w:r>
        <w:rPr>
          <w:b/>
          <w:sz w:val="24"/>
        </w:rPr>
        <w:t>3.项目联系方式</w:t>
      </w:r>
    </w:p>
    <w:p>
      <w:pPr>
        <w:ind w:firstLine="480"/>
      </w:pPr>
      <w:r>
        <w:rPr/>
        <w:t>项目联系人：</w:t>
      </w:r>
      <w:r>
        <w:rPr/>
        <w:t>林小姐</w:t>
      </w:r>
    </w:p>
    <w:p>
      <w:pPr>
        <w:ind w:firstLine="480"/>
      </w:pPr>
      <w:r>
        <w:rPr/>
        <w:t>电话：</w:t>
      </w:r>
      <w:r>
        <w:rPr/>
        <w:t>020-85200402</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广东国利招标有限公司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0"/>
        <w:jc w:val="both"/>
      </w:pPr>
      <w:r>
        <w:rPr>
          <w:sz w:val="24"/>
        </w:rPr>
        <w:t>1.</w:t>
      </w:r>
      <w:r>
        <w:rPr>
          <w:sz w:val="24"/>
        </w:rPr>
        <w:t>招标单位：广州南沙经济技术开发区科学技术局</w:t>
      </w:r>
    </w:p>
    <w:p>
      <w:pPr>
        <w:ind w:firstLine="480"/>
        <w:jc w:val="both"/>
      </w:pPr>
      <w:r>
        <w:rPr>
          <w:sz w:val="24"/>
        </w:rPr>
        <w:t>2.</w:t>
      </w:r>
      <w:r>
        <w:rPr>
          <w:sz w:val="24"/>
        </w:rPr>
        <w:t>项目名称：大湾区科学论坛秘书处办公场所租赁</w:t>
      </w:r>
    </w:p>
    <w:p>
      <w:pPr>
        <w:ind w:firstLine="480"/>
        <w:jc w:val="both"/>
      </w:pPr>
      <w:r>
        <w:rPr>
          <w:sz w:val="24"/>
        </w:rPr>
        <w:t>3.</w:t>
      </w:r>
      <w:r>
        <w:rPr>
          <w:sz w:val="24"/>
        </w:rPr>
        <w:t>资金来源：财政资金</w:t>
      </w:r>
    </w:p>
    <w:p>
      <w:pPr>
        <w:ind w:firstLine="480"/>
        <w:jc w:val="both"/>
      </w:pPr>
      <w:r>
        <w:rPr>
          <w:sz w:val="24"/>
        </w:rPr>
        <w:t>4.</w:t>
      </w:r>
      <w:r>
        <w:rPr>
          <w:sz w:val="24"/>
        </w:rPr>
        <w:t>采购内容：</w:t>
      </w:r>
    </w:p>
    <w:tbl>
      <w:tblPr>
        <w:tblW w:w="0" w:type="auto"/>
        <w:tblBorders>
          <w:top w:val="none" w:color="000000" w:sz="4"/>
          <w:left w:val="none" w:color="000000" w:sz="4"/>
          <w:bottom w:val="none" w:color="000000" w:sz="4"/>
          <w:right w:val="none" w:color="000000" w:sz="4"/>
          <w:insideH w:val="none"/>
          <w:insideV w:val="none"/>
        </w:tblBorders>
      </w:tblPr>
      <w:tblGrid>
        <w:gridCol w:w="2146"/>
        <w:gridCol w:w="791"/>
        <w:gridCol w:w="805"/>
        <w:gridCol w:w="1838"/>
        <w:gridCol w:w="2697"/>
      </w:tblGrid>
      <w:tr>
        <w:tc>
          <w:tcPr>
            <w:tcW w:type="dxa" w:w="2146"/>
            <w:tcBorders>
              <w:top w:val="single" w:color="000000" w:sz="4"/>
              <w:left w:val="single" w:color="000000" w:sz="4"/>
              <w:bottom w:val="single" w:color="000000" w:sz="4"/>
              <w:right w:val="single" w:color="000000" w:sz="4"/>
            </w:tcBorders>
            <w:shd w:fill="E0E0E0"/>
            <w:vAlign w:val="top"/>
          </w:tcPr>
          <w:p>
            <w:pPr>
              <w:jc w:val="center"/>
            </w:pPr>
            <w:r>
              <w:rPr>
                <w:b/>
                <w:sz w:val="24"/>
              </w:rPr>
              <w:t>项目名称</w:t>
            </w:r>
          </w:p>
        </w:tc>
        <w:tc>
          <w:tcPr>
            <w:tcW w:type="dxa" w:w="791"/>
            <w:tcBorders>
              <w:top w:val="single" w:color="000000" w:sz="4"/>
              <w:left w:val="none" w:color="000000" w:sz="4"/>
              <w:bottom w:val="single" w:color="000000" w:sz="4"/>
              <w:right w:val="single" w:color="000000" w:sz="4"/>
            </w:tcBorders>
            <w:shd w:fill="E0E0E0"/>
            <w:vAlign w:val="top"/>
          </w:tcPr>
          <w:p>
            <w:pPr>
              <w:jc w:val="center"/>
            </w:pPr>
            <w:r>
              <w:rPr>
                <w:b/>
                <w:sz w:val="24"/>
              </w:rPr>
              <w:t>类</w:t>
            </w:r>
            <w:r>
              <w:rPr>
                <w:b/>
                <w:sz w:val="24"/>
              </w:rPr>
              <w:t>别</w:t>
            </w:r>
          </w:p>
        </w:tc>
        <w:tc>
          <w:tcPr>
            <w:tcW w:type="dxa" w:w="805"/>
            <w:tcBorders>
              <w:top w:val="single" w:color="000000" w:sz="4"/>
              <w:left w:val="none" w:color="000000" w:sz="4"/>
              <w:bottom w:val="single" w:color="000000" w:sz="4"/>
              <w:right w:val="single" w:color="000000" w:sz="4"/>
            </w:tcBorders>
            <w:shd w:fill="E0E0E0"/>
            <w:vAlign w:val="top"/>
          </w:tcPr>
          <w:p>
            <w:pPr>
              <w:jc w:val="center"/>
            </w:pPr>
            <w:r>
              <w:rPr>
                <w:b/>
                <w:sz w:val="24"/>
              </w:rPr>
              <w:t>数</w:t>
            </w:r>
            <w:r>
              <w:rPr>
                <w:b/>
                <w:sz w:val="24"/>
              </w:rPr>
              <w:t>量</w:t>
            </w:r>
          </w:p>
        </w:tc>
        <w:tc>
          <w:tcPr>
            <w:tcW w:type="dxa" w:w="1838"/>
            <w:tcBorders>
              <w:top w:val="single" w:color="000000" w:sz="4"/>
              <w:left w:val="none" w:color="000000" w:sz="4"/>
              <w:bottom w:val="single" w:color="000000" w:sz="4"/>
              <w:right w:val="single" w:color="000000" w:sz="4"/>
            </w:tcBorders>
            <w:shd w:fill="E0E0E0"/>
            <w:vAlign w:val="top"/>
          </w:tcPr>
          <w:p>
            <w:pPr>
              <w:jc w:val="center"/>
            </w:pPr>
            <w:r>
              <w:rPr>
                <w:b/>
                <w:sz w:val="24"/>
              </w:rPr>
              <w:t>服务期限</w:t>
            </w:r>
          </w:p>
        </w:tc>
        <w:tc>
          <w:tcPr>
            <w:tcW w:type="dxa" w:w="2697"/>
            <w:tcBorders>
              <w:top w:val="single" w:color="000000" w:sz="4"/>
              <w:left w:val="none" w:color="000000" w:sz="4"/>
              <w:bottom w:val="single" w:color="000000" w:sz="4"/>
              <w:right w:val="single" w:color="000000" w:sz="4"/>
            </w:tcBorders>
            <w:shd w:fill="E0E0E0"/>
            <w:vAlign w:val="top"/>
          </w:tcPr>
          <w:p>
            <w:pPr>
              <w:jc w:val="center"/>
            </w:pPr>
            <w:r>
              <w:rPr>
                <w:b/>
                <w:sz w:val="24"/>
              </w:rPr>
              <w:t>最高限价（人民币）</w:t>
            </w:r>
          </w:p>
        </w:tc>
      </w:tr>
      <w:tr>
        <w:tc>
          <w:tcPr>
            <w:tcW w:type="dxa" w:w="2146"/>
            <w:tcBorders>
              <w:top w:val="none" w:color="000000" w:sz="4"/>
              <w:left w:val="single" w:color="000000" w:sz="4"/>
              <w:bottom w:val="single" w:color="000000" w:sz="4"/>
              <w:right w:val="single" w:color="000000" w:sz="4"/>
            </w:tcBorders>
            <w:vAlign w:val="top"/>
          </w:tcPr>
          <w:p>
            <w:pPr>
              <w:jc w:val="center"/>
            </w:pPr>
            <w:r>
              <w:rPr>
                <w:sz w:val="24"/>
              </w:rPr>
              <w:t>大湾区科学论坛秘书处办公场所租赁</w:t>
            </w:r>
          </w:p>
        </w:tc>
        <w:tc>
          <w:tcPr>
            <w:tcW w:type="dxa" w:w="791"/>
            <w:tcBorders>
              <w:top w:val="none" w:color="000000" w:sz="4"/>
              <w:left w:val="none" w:color="000000" w:sz="4"/>
              <w:bottom w:val="single" w:color="000000" w:sz="4"/>
              <w:right w:val="single" w:color="000000" w:sz="4"/>
            </w:tcBorders>
            <w:vAlign w:val="top"/>
          </w:tcPr>
          <w:p>
            <w:pPr>
              <w:jc w:val="center"/>
            </w:pPr>
            <w:r>
              <w:rPr>
                <w:sz w:val="24"/>
              </w:rPr>
              <w:t>服务类</w:t>
            </w:r>
          </w:p>
        </w:tc>
        <w:tc>
          <w:tcPr>
            <w:tcW w:type="dxa" w:w="805"/>
            <w:tcBorders>
              <w:top w:val="none" w:color="000000" w:sz="4"/>
              <w:left w:val="none" w:color="000000" w:sz="4"/>
              <w:bottom w:val="single" w:color="000000" w:sz="4"/>
              <w:right w:val="single" w:color="000000" w:sz="4"/>
            </w:tcBorders>
            <w:vAlign w:val="top"/>
          </w:tcPr>
          <w:p>
            <w:pPr>
              <w:jc w:val="center"/>
            </w:pPr>
            <w:r>
              <w:rPr>
                <w:sz w:val="24"/>
              </w:rPr>
              <w:t>1项</w:t>
            </w:r>
          </w:p>
        </w:tc>
        <w:tc>
          <w:tcPr>
            <w:tcW w:type="dxa" w:w="1838"/>
            <w:tcBorders>
              <w:top w:val="none" w:color="000000" w:sz="4"/>
              <w:left w:val="none" w:color="000000" w:sz="4"/>
              <w:bottom w:val="single" w:color="000000" w:sz="4"/>
              <w:right w:val="single" w:color="000000" w:sz="4"/>
            </w:tcBorders>
            <w:vAlign w:val="top"/>
          </w:tcPr>
          <w:p>
            <w:pPr>
              <w:jc w:val="center"/>
            </w:pPr>
            <w:r>
              <w:rPr>
                <w:sz w:val="24"/>
              </w:rPr>
              <w:t xml:space="preserve"> </w:t>
            </w:r>
            <w:r>
              <w:rPr>
                <w:sz w:val="24"/>
              </w:rPr>
              <w:t>3 年</w:t>
            </w:r>
          </w:p>
        </w:tc>
        <w:tc>
          <w:tcPr>
            <w:tcW w:type="dxa" w:w="2697"/>
            <w:tcBorders>
              <w:top w:val="none" w:color="000000" w:sz="4"/>
              <w:left w:val="none" w:color="000000" w:sz="4"/>
              <w:bottom w:val="single" w:color="000000" w:sz="4"/>
              <w:right w:val="single" w:color="000000" w:sz="4"/>
            </w:tcBorders>
            <w:vAlign w:val="top"/>
          </w:tcPr>
          <w:p>
            <w:pPr>
              <w:jc w:val="center"/>
            </w:pPr>
            <w:r>
              <w:rPr>
                <w:b/>
                <w:sz w:val="24"/>
              </w:rPr>
              <w:t>¥700.00万元。</w:t>
            </w:r>
          </w:p>
          <w:p>
            <w:pPr>
              <w:jc w:val="center"/>
            </w:pPr>
            <w:r>
              <w:rPr>
                <w:b/>
                <w:sz w:val="24"/>
              </w:rPr>
              <w:t>投标报价超出最高限价投标无效</w:t>
            </w:r>
          </w:p>
        </w:tc>
      </w:tr>
    </w:tbl>
    <w:p>
      <w:pPr>
        <w:jc w:val="both"/>
      </w:pPr>
      <w:r>
        <w:rPr>
          <w:sz w:val="24"/>
          <w:u w:val="single"/>
        </w:rPr>
        <w:t>注：投标人应对本项目全部内容进行投标，不允许只对其中部分内容进行投标，任何只对其中部分内容进行的投标均被视为无效投标。</w:t>
      </w:r>
    </w:p>
    <w:p/>
    <w:p>
      <w:pPr>
        <w:ind w:firstLine="480"/>
      </w:pPr>
    </w:p>
    <w:p/>
    <w:p>
      <w:r>
        <w:rPr/>
        <w:t>采购包1（大湾区科学论坛秘书处办公场所租赁）：</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3 年</w:t>
            </w:r>
          </w:p>
        </w:tc>
      </w:tr>
      <w:tr>
        <w:tc>
          <w:tcPr>
            <w:tcW w:type="dxa" w:w="4153"/>
          </w:tcPr>
          <w:p>
            <w:r>
              <w:rPr/>
              <w:t>标的提供的地点</w:t>
            </w:r>
          </w:p>
        </w:tc>
        <w:tc>
          <w:tcPr>
            <w:tcW w:type="dxa" w:w="4153"/>
          </w:tcPr>
          <w:p>
            <w:pPr>
              <w:jc w:val="left"/>
            </w:pPr>
          </w:p>
          <w:p>
            <w:r>
              <w:rPr/>
              <w:t>按采购人要求</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采购人按每半年度付费，于每半年度第一个月内支付该半年度的场地租赁费。中标供应商需开具正式税务发票原件交采购人，采购人在收到中标人提供等额合法有效增值税普通发票及申请付款资料后的30日内办理支付手续；采购人向政府财政部门提出支付申请，即视为采购人已经完成付款义务，政府财政部门审核的时间不包含在采购人的付款期限内，且付款金额以政府财政部门最终审核的金额为准。若成交供应商未能按时提供合法合规发票给采购人，采购人有权延迟付款直至收到成交供应商提供的正规等额发票并无需承担违约责任。</w:t>
            </w:r>
          </w:p>
        </w:tc>
      </w:tr>
      <w:tr>
        <w:tc>
          <w:tcPr>
            <w:tcW w:type="dxa" w:w="4153"/>
          </w:tcPr>
          <w:p>
            <w:r>
              <w:rPr/>
              <w:t>验收要求</w:t>
            </w:r>
          </w:p>
        </w:tc>
        <w:tc>
          <w:tcPr>
            <w:tcW w:type="dxa" w:w="4153"/>
          </w:tcPr>
          <w:p>
            <w:pPr>
              <w:jc w:val="left"/>
            </w:pPr>
          </w:p>
          <w:p/>
          <w:p/>
          <w:p>
            <w:r>
              <w:rPr/>
              <w:t>1期：中标单位提供的办公场所符合中华人民共和国国家和履约地相关房屋建筑验收标准、消防验收标准。</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房屋租赁服务</w:t>
            </w:r>
          </w:p>
        </w:tc>
        <w:tc>
          <w:tcPr>
            <w:tcW w:type="dxa" w:w="1923"/>
          </w:tcPr>
          <w:p>
            <w:r>
              <w:rPr/>
              <w:t>大湾区科学论坛秘书处办公场所租赁</w:t>
            </w:r>
          </w:p>
        </w:tc>
        <w:tc>
          <w:tcPr>
            <w:tcW w:type="dxa" w:w="385"/>
          </w:tcPr>
          <w:p>
            <w:r>
              <w:rPr/>
              <w:t>项</w:t>
            </w:r>
          </w:p>
        </w:tc>
        <w:tc>
          <w:tcPr>
            <w:tcW w:type="dxa" w:w="769"/>
          </w:tcPr>
          <w:p>
            <w:pPr>
              <w:jc w:val="right"/>
            </w:pPr>
            <w:r>
              <w:rPr/>
              <w:t>1.00</w:t>
            </w:r>
          </w:p>
        </w:tc>
        <w:tc>
          <w:tcPr>
            <w:tcW w:type="dxa" w:w="769"/>
          </w:tcPr>
          <w:p>
            <w:pPr>
              <w:jc w:val="right"/>
            </w:pPr>
            <w:r>
              <w:rPr/>
              <w:t>7,000,000.00</w:t>
            </w:r>
          </w:p>
        </w:tc>
        <w:tc>
          <w:tcPr>
            <w:tcW w:type="dxa" w:w="769"/>
          </w:tcPr>
          <w:p>
            <w:pPr>
              <w:jc w:val="right"/>
            </w:pPr>
            <w:r>
              <w:rPr/>
              <w:t>7,000,000.00</w:t>
            </w:r>
          </w:p>
        </w:tc>
        <w:tc>
          <w:tcPr>
            <w:tcW w:type="dxa" w:w="769"/>
          </w:tcPr>
          <w:p>
            <w:r>
              <w:rPr/>
              <w:t>租赁和商务服务业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大湾区科学论坛秘书处办公场所租赁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4"/>
              </w:rPr>
              <w:t>一、项目简介</w:t>
            </w:r>
          </w:p>
          <w:p>
            <w:pPr>
              <w:ind w:firstLine="480"/>
            </w:pPr>
            <w:r>
              <w:rPr>
                <w:sz w:val="24"/>
              </w:rPr>
              <w:t>本项目具有以下特点：</w:t>
            </w:r>
          </w:p>
          <w:p>
            <w:pPr>
              <w:ind w:firstLine="480"/>
            </w:pPr>
            <w:r>
              <w:rPr>
                <w:sz w:val="24"/>
              </w:rPr>
              <w:t>（一）辖区内的业务办公性质房屋，以便于企业办公。</w:t>
            </w:r>
          </w:p>
          <w:p>
            <w:pPr>
              <w:ind w:firstLine="480"/>
            </w:pPr>
            <w:r>
              <w:rPr>
                <w:sz w:val="24"/>
              </w:rPr>
              <w:t>（二）权属清晰的现楼（确保中标后</w:t>
            </w:r>
            <w:r>
              <w:rPr>
                <w:sz w:val="24"/>
              </w:rPr>
              <w:t>1个月内交付使用），保证在交接时无出让、查封等事项，没有其他法律纠纷，能提供房屋产权证明或国有土地使用证、建设用地规划许可证、建设工程规划条件核实意见、建筑工程竣工联合验收意见书；租赁物业须满足企业日常办公需求的装修方式（包括但不限于用水、用电、通邮、天花、白墙、地砖、空调等）出租。</w:t>
            </w:r>
          </w:p>
          <w:p>
            <w:pPr>
              <w:jc w:val="both"/>
            </w:pPr>
            <w:r>
              <w:rPr>
                <w:sz w:val="24"/>
              </w:rPr>
              <w:t>（三）提供优质的房屋物业服务。</w:t>
            </w:r>
          </w:p>
        </w:tc>
      </w:tr>
      <w:tr>
        <w:tc>
          <w:tcPr>
            <w:tcW w:type="dxa" w:w="2076"/>
          </w:tcPr>
          <w:p/>
        </w:tc>
        <w:tc>
          <w:tcPr>
            <w:tcW w:type="dxa" w:w="415"/>
          </w:tcPr>
          <w:p>
            <w:r>
              <w:rPr/>
              <w:t>2</w:t>
            </w:r>
          </w:p>
        </w:tc>
        <w:tc>
          <w:tcPr>
            <w:tcW w:type="dxa" w:w="5814"/>
          </w:tcPr>
          <w:p>
            <w:r>
              <w:rPr>
                <w:b/>
                <w:sz w:val="24"/>
              </w:rPr>
              <w:t>二、招标要求</w:t>
            </w:r>
          </w:p>
          <w:p>
            <w:pPr>
              <w:ind w:firstLine="480"/>
            </w:pPr>
            <w:r>
              <w:rPr>
                <w:sz w:val="24"/>
              </w:rPr>
              <w:t>（一）选址：在南沙自贸区范围内，位于蕉门河附近的商业、办公综合性商品房开发项目，到蕉门地铁站直线距离不大于</w:t>
            </w:r>
            <w:r>
              <w:rPr>
                <w:sz w:val="24"/>
              </w:rPr>
              <w:t>3</w:t>
            </w:r>
            <w:r>
              <w:rPr>
                <w:sz w:val="24"/>
              </w:rPr>
              <w:t>公里。</w:t>
            </w:r>
          </w:p>
          <w:p>
            <w:pPr>
              <w:ind w:firstLine="480"/>
            </w:pPr>
            <w:r>
              <w:rPr>
                <w:sz w:val="24"/>
              </w:rPr>
              <w:t>（二）租赁物业面积：面积约为</w:t>
            </w:r>
            <w:r>
              <w:rPr>
                <w:sz w:val="24"/>
              </w:rPr>
              <w:t>1600平方米。</w:t>
            </w:r>
          </w:p>
          <w:p>
            <w:pPr>
              <w:ind w:firstLine="480"/>
            </w:pPr>
            <w:r>
              <w:rPr>
                <w:sz w:val="24"/>
              </w:rPr>
              <w:t>（三）租金：</w:t>
            </w:r>
            <w:r>
              <w:rPr>
                <w:sz w:val="24"/>
              </w:rPr>
              <w:t>3年总费用最高限价为人民币700.00万元（包含租金与物业管理费），在3年总费用不变情况下，投标人可以对费用进行逐年递增5%。</w:t>
            </w:r>
          </w:p>
          <w:p>
            <w:pPr>
              <w:ind w:firstLine="480"/>
            </w:pPr>
            <w:r>
              <w:rPr>
                <w:sz w:val="24"/>
              </w:rPr>
              <w:t>（四）租期：</w:t>
            </w:r>
            <w:r>
              <w:rPr>
                <w:sz w:val="24"/>
              </w:rPr>
              <w:t>3年。</w:t>
            </w:r>
          </w:p>
          <w:p>
            <w:pPr>
              <w:ind w:firstLine="480"/>
            </w:pPr>
            <w:r>
              <w:rPr>
                <w:sz w:val="24"/>
              </w:rPr>
              <w:t>（五）标的物性质：南沙自贸区内的办公用房。</w:t>
            </w:r>
          </w:p>
          <w:p>
            <w:pPr>
              <w:ind w:firstLine="480"/>
            </w:pPr>
            <w:r>
              <w:rPr>
                <w:sz w:val="24"/>
              </w:rPr>
              <w:t>（六）房屋需在中标后</w:t>
            </w:r>
            <w:r>
              <w:rPr>
                <w:sz w:val="24"/>
              </w:rPr>
              <w:t>1个月内交付使用。业务用房（套内面积）功能区块安排日常办公区域。</w:t>
            </w:r>
          </w:p>
          <w:p>
            <w:pPr>
              <w:ind w:firstLine="480"/>
            </w:pPr>
            <w:r>
              <w:rPr>
                <w:sz w:val="24"/>
              </w:rPr>
              <w:t>（七）地理位置要求：公共交通便利（临近主干道，租赁用房步行</w:t>
            </w:r>
            <w:r>
              <w:rPr>
                <w:sz w:val="24"/>
              </w:rPr>
              <w:t>1公里以内有公交车站途径公交车的数量有10路以上的优先考虑，方便日常办公出行。）</w:t>
            </w:r>
          </w:p>
          <w:p>
            <w:pPr>
              <w:ind w:firstLine="480"/>
            </w:pPr>
            <w:r>
              <w:rPr>
                <w:sz w:val="24"/>
              </w:rPr>
              <w:t>（八）办公环境要求：</w:t>
            </w:r>
            <w:r>
              <w:rPr>
                <w:sz w:val="24"/>
              </w:rPr>
              <w:t>具有良好的通风、采光条件，空气对流，周边环境舒适，具备基本的防火、防盗等安全防护措施；具体良好停车场地，配备地下室车位，方便企业人员日常办公出行。</w:t>
            </w:r>
          </w:p>
          <w:p>
            <w:pPr>
              <w:ind w:firstLine="480"/>
            </w:pPr>
            <w:r>
              <w:rPr>
                <w:sz w:val="24"/>
              </w:rPr>
              <w:t>（九）商业配套</w:t>
            </w:r>
          </w:p>
          <w:p>
            <w:pPr>
              <w:ind w:firstLine="480"/>
            </w:pPr>
            <w:r>
              <w:rPr>
                <w:sz w:val="24"/>
              </w:rPr>
              <w:t>为方便群众办事及办公配套需求，租赁物业</w:t>
            </w:r>
            <w:r>
              <w:rPr>
                <w:sz w:val="24"/>
              </w:rPr>
              <w:t>1500米范围内应配备</w:t>
            </w:r>
            <w:r>
              <w:rPr>
                <w:sz w:val="24"/>
              </w:rPr>
              <w:t>2</w:t>
            </w:r>
            <w:r>
              <w:rPr>
                <w:sz w:val="24"/>
              </w:rPr>
              <w:t>万平方米以上配套商业优先。</w:t>
            </w:r>
          </w:p>
          <w:p>
            <w:pPr>
              <w:ind w:firstLine="480"/>
            </w:pPr>
            <w:r>
              <w:rPr>
                <w:sz w:val="24"/>
              </w:rPr>
              <w:t>（十）其他事项：</w:t>
            </w:r>
          </w:p>
          <w:p>
            <w:pPr>
              <w:ind w:firstLine="480"/>
            </w:pPr>
            <w:r>
              <w:rPr>
                <w:sz w:val="24"/>
              </w:rPr>
              <w:t>1. 租赁物业状态为简装，可进行室内装修，办公场地的主体结构安全由供应商负责。有配备符合国家检验要求的电梯平台，并由中标人负责该电梯的保养维护及年检，中标人需无条件协助相关配套工作。</w:t>
            </w:r>
          </w:p>
          <w:p>
            <w:pPr>
              <w:ind w:firstLine="480"/>
            </w:pPr>
            <w:r>
              <w:rPr>
                <w:sz w:val="24"/>
              </w:rPr>
              <w:t>2.水、电报装手续齐全，已安装到每层，且供应正常，水电按南沙区规定单价据实收取，配备独立安装的水表、电表。如使用人对水、电等配给需求有所变动时，中标人必须配合使用人报装水、电改配及网络增配的手续。</w:t>
            </w:r>
          </w:p>
          <w:p>
            <w:pPr>
              <w:ind w:firstLine="480"/>
            </w:pPr>
            <w:r>
              <w:rPr>
                <w:sz w:val="24"/>
              </w:rPr>
              <w:t>3. 本次采购的办公场地的停车费、装修复原费、水电费、水电费周转金等由入驻企业自行承担，费用不在本次报价范围内。</w:t>
            </w:r>
          </w:p>
          <w:p>
            <w:pPr>
              <w:ind w:firstLine="480"/>
            </w:pPr>
            <w:r>
              <w:rPr>
                <w:sz w:val="24"/>
              </w:rPr>
              <w:t>4. 中标人提供的货物必须符合最新的中华人民共和国国家安全环保标准、国家有关产品质量认证标准。招标文件和投标文件中规定的质量要求和技术指标为约定标准，采购人和中标人如遇对质量要求和技术指标中有相互抵触或异议的事项，以中标人的投标文件的响应情况为标准。</w:t>
            </w:r>
          </w:p>
          <w:p>
            <w:pPr>
              <w:jc w:val="both"/>
            </w:pPr>
            <w:r>
              <w:rPr>
                <w:sz w:val="24"/>
              </w:rPr>
              <w:t>5.本项目采购租金不含停车费、装修复原费、水电费、水电费周转金</w:t>
            </w:r>
            <w:r>
              <w:rPr>
                <w:sz w:val="24"/>
              </w:rPr>
              <w:t>等</w:t>
            </w:r>
            <w:r>
              <w:rPr>
                <w:sz w:val="24"/>
              </w:rPr>
              <w:t>，由引进的重点项目缴纳，物业移交前的空置期间采购人不缴纳物业管理费、水电费等任何费用。</w:t>
            </w:r>
          </w:p>
        </w:tc>
      </w:tr>
      <w:tr>
        <w:tc>
          <w:tcPr>
            <w:tcW w:type="dxa" w:w="2076"/>
          </w:tcPr>
          <w:p/>
        </w:tc>
        <w:tc>
          <w:tcPr>
            <w:tcW w:type="dxa" w:w="415"/>
          </w:tcPr>
          <w:p>
            <w:r>
              <w:rPr/>
              <w:t>3</w:t>
            </w:r>
          </w:p>
        </w:tc>
        <w:tc>
          <w:tcPr>
            <w:tcW w:type="dxa" w:w="5814"/>
          </w:tcPr>
          <w:p>
            <w:r>
              <w:rPr>
                <w:b/>
                <w:sz w:val="24"/>
              </w:rPr>
              <w:t>三、其他事项</w:t>
            </w:r>
          </w:p>
          <w:p>
            <w:r>
              <w:rPr>
                <w:sz w:val="24"/>
              </w:rPr>
              <w:t>（一）中标供应商承担独立法人单位应该承担的全部责任，包括计划生育、综合治理、刑事、民事、工伤、社保、员工劳保福利等一切责任。如中标供应商的工作人员发生违法、违规行为，所造成一切后果及损失，由中标供应商承担责任和负责赔偿。</w:t>
            </w:r>
          </w:p>
          <w:p>
            <w:r>
              <w:rPr>
                <w:sz w:val="24"/>
              </w:rPr>
              <w:t>（二）中标供应商必须保证合同期内场地稳定性，如因不可抗力或政府有关部门行政规定等原因确需收回出租物业，需提前一个月书面通知采购人。</w:t>
            </w:r>
          </w:p>
          <w:p>
            <w:r>
              <w:rPr>
                <w:sz w:val="24"/>
              </w:rPr>
              <w:t>（三）中标供应商应向采购人提供场地范围内特种设施设备许可证复印件，以便留底备份。</w:t>
            </w:r>
          </w:p>
          <w:p>
            <w:r>
              <w:rPr>
                <w:sz w:val="24"/>
              </w:rPr>
              <w:t>（四）中标供应商须遵守采购人相关规章制度规定，服从采购人的合理工作安排，如有违反或损害采购方利益的，采购人有权拒绝中标供应商提供场地配套设施，问题严重的，有权终止合同，一切责任由中标供应商承担。</w:t>
            </w:r>
          </w:p>
          <w:p>
            <w:r>
              <w:rPr>
                <w:sz w:val="24"/>
              </w:rPr>
              <w:t>（五）交接时间：中标通知书出具后</w:t>
            </w:r>
            <w:r>
              <w:rPr>
                <w:sz w:val="24"/>
              </w:rPr>
              <w:t>20日内签定租赁合同、1个月内交接场地。</w:t>
            </w:r>
          </w:p>
          <w:p>
            <w:r>
              <w:rPr>
                <w:sz w:val="24"/>
              </w:rPr>
              <w:t>（六）完成采购人提出的其他合理的要求。</w:t>
            </w:r>
          </w:p>
          <w:p>
            <w:r>
              <w:rPr>
                <w:sz w:val="24"/>
              </w:rPr>
              <w:t>（七）中标供应商不得将项目责任转包给第三方。</w:t>
            </w:r>
          </w:p>
          <w:p>
            <w:pPr>
              <w:jc w:val="both"/>
            </w:pPr>
            <w:r>
              <w:rPr>
                <w:sz w:val="24"/>
              </w:rPr>
              <w:t>（八）投标人需对拟出租物业享有清晰、完整的所有权或使用权，并提交相关证明材料。</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1.采购代理机构：本项目是指广东国利招标有限公司，负责整个采购活动的组织，依法负责编制和发布招标文件，对招标文件拥有最终的解释权，不以任何身份出任评标委员会成员。</w:t>
      </w:r>
    </w:p>
    <w:p>
      <w:pPr>
        <w:ind w:firstLine="480"/>
      </w:pPr>
      <w:r>
        <w:rPr/>
        <w:t>2.采购人：本项目是指</w:t>
      </w:r>
      <w:r>
        <w:rPr/>
        <w:t>广州南沙开发区科技局、南沙区科技局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5</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兼投兼中：本项目不适用</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代理服务费收取。采购机构代理服务收费标准：1、投标供应商应承担所有与准备和参加投标有关的费用不论投标的结果如何，釆购代理机构和采购人均无义务和责任承担这些费用。2、中标人在领取《中标通知书》时须向釆购代理机构缴纳基础招标代理服务费及专家评审费。基础招标代理服务费参考《招标代理服务收费管理暂行办法》计价格[2002]1980号、《招标代理服务收费管理暂行办法》（发改办价格[2003]857号）文及本项目招标代理协议规定的收费标准；专家评审费参考《政府采购评审专家管理办法》（财库[2016]198号）、《广东省财政厅关于修订广东省政府釆购评审专家劳务报酬标准的通知》（粤财釆购[2020]17号）及本项目招标代理协议规定的标准，不足的按实结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林小姐</w:t>
      </w:r>
    </w:p>
    <w:p>
      <w:pPr>
        <w:ind w:firstLine="480"/>
      </w:pPr>
      <w:r>
        <w:rPr/>
        <w:t>电话：</w:t>
      </w:r>
      <w:r>
        <w:rPr/>
        <w:t>020-85200402</w:t>
      </w:r>
    </w:p>
    <w:p>
      <w:pPr>
        <w:ind w:firstLine="480"/>
      </w:pPr>
      <w:r>
        <w:rPr/>
        <w:t>传真：</w:t>
      </w:r>
      <w:r>
        <w:rPr/>
        <w:t>020-85200421</w:t>
      </w:r>
    </w:p>
    <w:p>
      <w:pPr>
        <w:ind w:firstLine="480"/>
      </w:pPr>
      <w:r>
        <w:rPr/>
        <w:t>邮箱：</w:t>
      </w:r>
      <w:r>
        <w:rPr/>
        <w:t>gdglzb@163.com</w:t>
      </w:r>
    </w:p>
    <w:p>
      <w:pPr>
        <w:ind w:firstLine="480"/>
      </w:pPr>
      <w:r>
        <w:rPr/>
        <w:t>地址：</w:t>
      </w:r>
      <w:r>
        <w:rPr/>
        <w:t>广州市天河区珠江新城华强路9号保利克洛维中盈大厦22楼2202室</w:t>
      </w:r>
    </w:p>
    <w:p>
      <w:pPr>
        <w:ind w:firstLine="480"/>
      </w:pPr>
      <w:r>
        <w:rPr/>
        <w:t>邮编：</w:t>
      </w:r>
      <w:r>
        <w:rPr/>
        <w:t>510000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政府采购监督管理机构名称：广州市南沙区财政局财政监督管理处</w:t>
      </w:r>
    </w:p>
    <w:p>
      <w:r>
        <w:rPr/>
        <w:t>地  址：广州市南沙区凤凰大道1号D栋3楼</w:t>
      </w:r>
    </w:p>
    <w:p>
      <w:r>
        <w:rPr/>
        <w:t>电  话：020-39078089</w:t>
      </w:r>
    </w:p>
    <w:p>
      <w:r>
        <w:rPr/>
        <w:t>邮  编：511455</w:t>
      </w:r>
    </w:p>
    <w:p>
      <w:r>
        <w:rPr/>
        <w:t>传  真：020-84986648</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大湾区科学论坛秘书处办公场所租赁)：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广东国利招标有限公司</w:t>
      </w:r>
      <w:r>
        <w:rPr/>
        <w:t>统一对外发布。</w:t>
      </w:r>
    </w:p>
    <w:p>
      <w:pPr>
        <w:ind w:firstLine="480"/>
      </w:pPr>
      <w:r>
        <w:rPr/>
        <w:t>（2）对</w:t>
      </w:r>
      <w:r>
        <w:rPr/>
        <w:t>广东国利招标有限公司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 不同投标人的电子投标文件制作机器计算机的网卡MAC地址硬件信息相同的；</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第二中标候选人报价低于第一中标候选人报价20％以上的，只推荐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采购包1（大湾区科学论坛秘书处办公场所租赁）：</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10%的价格扣除C1，即：评标价=核实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系统抓取并记录到供应商与同项目（采购包）其他投标（响应）供应商电子投标文件制作计算机的网卡MAC地址硬件信息相同（开标现场上传电子投标文件的除外）的情形，评标委员会应认定其投标（响应）无效。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采购包1（大湾区科学论坛秘书处办公场所租赁）：</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依据《投标函》及其附件，分支机构投标的，还须提供分支机构的营业执照（执业许可证）扫描件及总公司（总所）出具给分支机构的授权书。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依据《投标函》；</w:t>
            </w:r>
          </w:p>
        </w:tc>
      </w:tr>
      <w:tr>
        <w:tc>
          <w:tcPr>
            <w:tcW w:type="dxa" w:w="890"/>
          </w:tcPr>
          <w:p>
            <w:r>
              <w:rPr/>
              <w:t>3</w:t>
            </w:r>
          </w:p>
        </w:tc>
        <w:tc>
          <w:tcPr>
            <w:tcW w:type="dxa" w:w="3178"/>
          </w:tcPr>
          <w:p>
            <w:r>
              <w:rPr/>
              <w:t>具有良好的商业信誉和健全的财务会计制度</w:t>
            </w:r>
          </w:p>
        </w:tc>
        <w:tc>
          <w:tcPr>
            <w:tcW w:type="dxa" w:w="4238"/>
          </w:tcPr>
          <w:p>
            <w:r>
              <w:rPr/>
              <w:t>依据《投标函》；</w:t>
            </w:r>
          </w:p>
        </w:tc>
      </w:tr>
      <w:tr>
        <w:tc>
          <w:tcPr>
            <w:tcW w:type="dxa" w:w="890"/>
          </w:tcPr>
          <w:p>
            <w:r>
              <w:rPr/>
              <w:t>4</w:t>
            </w:r>
          </w:p>
        </w:tc>
        <w:tc>
          <w:tcPr>
            <w:tcW w:type="dxa" w:w="3178"/>
          </w:tcPr>
          <w:p>
            <w:r>
              <w:rPr/>
              <w:t>履行合同所必需的设备和专业技术能力</w:t>
            </w:r>
          </w:p>
        </w:tc>
        <w:tc>
          <w:tcPr>
            <w:tcW w:type="dxa" w:w="4238"/>
          </w:tcPr>
          <w:p>
            <w:r>
              <w:rPr/>
              <w:t>依据《投标函》；</w:t>
            </w:r>
          </w:p>
        </w:tc>
      </w:tr>
      <w:tr>
        <w:tc>
          <w:tcPr>
            <w:tcW w:type="dxa" w:w="890"/>
          </w:tcPr>
          <w:p>
            <w:r>
              <w:rPr/>
              <w:t>5</w:t>
            </w:r>
          </w:p>
        </w:tc>
        <w:tc>
          <w:tcPr>
            <w:tcW w:type="dxa" w:w="3178"/>
          </w:tcPr>
          <w:p>
            <w:r>
              <w:rPr/>
              <w:t>参加采购活动前3年内，在经营活动中没有重大违法记录</w:t>
            </w:r>
          </w:p>
        </w:tc>
        <w:tc>
          <w:tcPr>
            <w:tcW w:type="dxa" w:w="4238"/>
          </w:tcPr>
          <w:p>
            <w:r>
              <w:rPr/>
              <w:t>依据《投标函》。</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即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投标人必须提供《公平竞争承诺书》原件</w:t>
            </w:r>
          </w:p>
        </w:tc>
        <w:tc>
          <w:tcPr>
            <w:tcW w:type="dxa" w:w="4238"/>
          </w:tcPr>
          <w:p>
            <w:r>
              <w:rPr/>
              <w:t>投标人必须提供《公平竞争承诺书》原件</w:t>
            </w:r>
          </w:p>
        </w:tc>
      </w:tr>
      <w:tr>
        <w:tc>
          <w:tcPr>
            <w:tcW w:type="dxa" w:w="890"/>
          </w:tcPr>
          <w:p>
            <w:r>
              <w:rPr/>
              <w:t>9</w:t>
            </w:r>
          </w:p>
        </w:tc>
        <w:tc>
          <w:tcPr>
            <w:tcW w:type="dxa" w:w="3178"/>
          </w:tcPr>
          <w:p>
            <w:r>
              <w:rPr/>
              <w:t>本项目不接受联合体投标</w:t>
            </w:r>
          </w:p>
        </w:tc>
        <w:tc>
          <w:tcPr>
            <w:tcW w:type="dxa" w:w="4238"/>
          </w:tcPr>
          <w:p>
            <w:r>
              <w:rPr/>
              <w:t>本项目不接受联合体投标</w:t>
            </w:r>
          </w:p>
        </w:tc>
      </w:tr>
      <w:tr>
        <w:tc>
          <w:tcPr>
            <w:tcW w:type="dxa" w:w="890"/>
          </w:tcPr>
          <w:p>
            <w:r>
              <w:rPr/>
              <w:t>10</w:t>
            </w:r>
          </w:p>
        </w:tc>
        <w:tc>
          <w:tcPr>
            <w:tcW w:type="dxa" w:w="3178"/>
          </w:tcPr>
          <w:p>
            <w:r>
              <w:rPr/>
              <w:t>落实政府采购政策需满足的资格要求</w:t>
            </w:r>
          </w:p>
        </w:tc>
        <w:tc>
          <w:tcPr>
            <w:tcW w:type="dxa" w:w="4238"/>
          </w:tcPr>
          <w:p>
            <w:r>
              <w:rPr/>
              <w:t>采购包不属于专门面向中小企业</w:t>
            </w:r>
          </w:p>
        </w:tc>
      </w:tr>
    </w:tbl>
    <w:p/>
    <w:p>
      <w:pPr>
        <w:ind w:firstLine="480"/>
      </w:pPr>
      <w:r>
        <w:rPr/>
        <w:t>表二符合性审查表：</w:t>
      </w:r>
    </w:p>
    <w:p>
      <w:pPr>
        <w:ind w:firstLine="480"/>
      </w:pPr>
    </w:p>
    <w:p/>
    <w:p>
      <w:r>
        <w:rPr/>
        <w:t>采购包1（大湾区科学论坛秘书处办公场所租赁）：</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投标文件签署、盖章、授权</w:t>
            </w:r>
          </w:p>
        </w:tc>
        <w:tc>
          <w:tcPr>
            <w:tcW w:type="dxa" w:w="4238"/>
          </w:tcPr>
          <w:p>
            <w:r>
              <w:rPr/>
              <w:t>按照招标文件规定要求签署、盖章且投标文件有法定代表人签字或盖个人名章（或 签字人有法定代表人有效授权书）。</w:t>
            </w:r>
          </w:p>
        </w:tc>
      </w:tr>
      <w:tr>
        <w:tc>
          <w:tcPr>
            <w:tcW w:type="dxa" w:w="890"/>
          </w:tcPr>
          <w:p>
            <w:r>
              <w:rPr/>
              <w:t>2</w:t>
            </w:r>
          </w:p>
        </w:tc>
        <w:tc>
          <w:tcPr>
            <w:tcW w:type="dxa" w:w="3178"/>
          </w:tcPr>
          <w:p>
            <w:r>
              <w:rPr/>
              <w:t>投标函、投标有效期</w:t>
            </w:r>
          </w:p>
        </w:tc>
        <w:tc>
          <w:tcPr>
            <w:tcW w:type="dxa" w:w="4238"/>
          </w:tcPr>
          <w:p>
            <w:r>
              <w:rPr/>
              <w:t>《投标函》已提交并符合招标文件要求，且投标有效期满足招标文件要求。</w:t>
            </w:r>
          </w:p>
        </w:tc>
      </w:tr>
      <w:tr>
        <w:tc>
          <w:tcPr>
            <w:tcW w:type="dxa" w:w="890"/>
          </w:tcPr>
          <w:p>
            <w:r>
              <w:rPr/>
              <w:t>3</w:t>
            </w:r>
          </w:p>
        </w:tc>
        <w:tc>
          <w:tcPr>
            <w:tcW w:type="dxa" w:w="3178"/>
          </w:tcPr>
          <w:p>
            <w:r>
              <w:rPr/>
              <w:t>实质性条款（含打“★”号条款）</w:t>
            </w:r>
          </w:p>
        </w:tc>
        <w:tc>
          <w:tcPr>
            <w:tcW w:type="dxa" w:w="4238"/>
          </w:tcPr>
          <w:p>
            <w:r>
              <w:rPr/>
              <w:t>实质性响应招标文件中“★”号条款的技术、商务要求：投标方案不得对实质性技术与商务的（即标注★号条款）条款产生偏离</w:t>
            </w:r>
          </w:p>
        </w:tc>
      </w:tr>
      <w:tr>
        <w:tc>
          <w:tcPr>
            <w:tcW w:type="dxa" w:w="890"/>
          </w:tcPr>
          <w:p>
            <w:r>
              <w:rPr/>
              <w:t>4</w:t>
            </w:r>
          </w:p>
        </w:tc>
        <w:tc>
          <w:tcPr>
            <w:tcW w:type="dxa" w:w="3178"/>
          </w:tcPr>
          <w:p>
            <w:r>
              <w:rPr/>
              <w:t>投标人报价</w:t>
            </w:r>
          </w:p>
        </w:tc>
        <w:tc>
          <w:tcPr>
            <w:tcW w:type="dxa" w:w="4238"/>
          </w:tcPr>
          <w:p>
            <w:r>
              <w:rPr/>
              <w:t>（1）投标供应商报价（含单项报价，如有要求）确定且未超过采购文件中列出的采购预算（最高限价）； （2）如有，对评标委员会按照招标文件规定修正后的投标报价，投标人按规定书面确认； （3）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r>
              <w:rPr/>
              <w:t>5</w:t>
            </w:r>
          </w:p>
        </w:tc>
        <w:tc>
          <w:tcPr>
            <w:tcW w:type="dxa" w:w="3178"/>
          </w:tcPr>
          <w:p>
            <w:r>
              <w:rPr/>
              <w:t>其他无效投标情形</w:t>
            </w:r>
          </w:p>
        </w:tc>
        <w:tc>
          <w:tcPr>
            <w:tcW w:type="dxa" w:w="4238"/>
          </w:tcPr>
          <w:p>
            <w:r>
              <w:rPr/>
              <w:t>未发现存在如下其他无效投标情形之一： （1）评审期间，供应商没有按评标委员会的要求提交有效的澄清、说明、补正，或提交的澄清、说明、补正改变了投标文件的实质性内容； （2）供应商对采购人、采购代理机构、评标委员会及其工作人员施加影响，有碍公平、公正； （3）招标文件中规定的其它无效投标情形； （4）法律法规规定属于响应无效的其他情形。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大湾区科学论坛秘书处办公场所租赁</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服务方案 (10.0分)</w:t>
            </w:r>
          </w:p>
        </w:tc>
        <w:tc>
          <w:tcPr>
            <w:tcW w:type="dxa" w:w="5076"/>
          </w:tcPr>
          <w:p>
            <w:pPr>
              <w:jc w:val="left"/>
            </w:pPr>
            <w:r>
              <w:rPr/>
              <w:t>投标人根据项目服务要求，提供针对本项目完善的管理方案、服务流程： 1、详细的介绍描述、针对性强、科学合理、保证措施得当，得10分； 2、介绍描述一般、针对性一般、合理性一般、保证措施一般，得5分； 3、介绍描述差、针对性差、合理性差、保证措施差，得2分； 不提供不得分。</w:t>
            </w:r>
          </w:p>
        </w:tc>
      </w:tr>
      <w:tr>
        <w:tc>
          <w:tcPr>
            <w:tcW w:type="dxa" w:w="922"/>
            <w:gridSpan w:val="2"/>
            <w:vMerge/>
          </w:tcPr>
          <w:p/>
        </w:tc>
        <w:tc>
          <w:tcPr>
            <w:tcW w:type="dxa" w:w="2307"/>
          </w:tcPr>
          <w:p>
            <w:pPr>
              <w:jc w:val="left"/>
            </w:pPr>
            <w:r>
              <w:rPr/>
              <w:t>租赁用房商务生活配套 (20.0分)</w:t>
            </w:r>
          </w:p>
        </w:tc>
        <w:tc>
          <w:tcPr>
            <w:tcW w:type="dxa" w:w="5076"/>
          </w:tcPr>
          <w:p>
            <w:pPr>
              <w:jc w:val="left"/>
            </w:pPr>
            <w:r>
              <w:rPr/>
              <w:t>根据响应的租赁用房在运营中的商务生活配套进行评分： 1、具有完善的商务生活配套，配套齐备、合理，得20分； 2、商务生活配套一般，配套不够齐备，合理性一般，得10分； 3、商务生活配套差，配套不齐备，合理性差，得5分； 不提供不得分。 注：需提供租赁用房商务生活配套的不少于20张现场实景照片或提供管理合同或租赁合同或设计方案和平面图（首页和签署页）等证明材料。</w:t>
            </w:r>
          </w:p>
        </w:tc>
      </w:tr>
      <w:tr>
        <w:tc>
          <w:tcPr>
            <w:tcW w:type="dxa" w:w="922"/>
            <w:gridSpan w:val="2"/>
            <w:vMerge/>
          </w:tcPr>
          <w:p/>
        </w:tc>
        <w:tc>
          <w:tcPr>
            <w:tcW w:type="dxa" w:w="2307"/>
          </w:tcPr>
          <w:p>
            <w:pPr>
              <w:jc w:val="left"/>
            </w:pPr>
            <w:r>
              <w:rPr/>
              <w:t>所投物业的状况 (10.0分)</w:t>
            </w:r>
          </w:p>
        </w:tc>
        <w:tc>
          <w:tcPr>
            <w:tcW w:type="dxa" w:w="5076"/>
          </w:tcPr>
          <w:p>
            <w:pPr>
              <w:jc w:val="left"/>
            </w:pPr>
            <w:r>
              <w:rPr/>
              <w:t>根据投标人所投的物业状况进行评审（办公场所面积情况、功能配置及物业管理能力等） 1、物业交付便利性高，功能配置齐全，物业管理完善，得10分；  2、物业交付便利性一般，功能配置较为齐全，物业管理较为完善，得7分； 3、物业交付便利性差，功能配置基本齐全，物业管理有待完善，得4分； 不提供不得分。</w:t>
            </w:r>
          </w:p>
        </w:tc>
      </w:tr>
      <w:tr>
        <w:tc>
          <w:tcPr>
            <w:tcW w:type="dxa" w:w="922"/>
            <w:gridSpan w:val="2"/>
            <w:vMerge/>
          </w:tcPr>
          <w:p/>
        </w:tc>
        <w:tc>
          <w:tcPr>
            <w:tcW w:type="dxa" w:w="2307"/>
          </w:tcPr>
          <w:p>
            <w:pPr>
              <w:jc w:val="left"/>
            </w:pPr>
            <w:r>
              <w:rPr/>
              <w:t>物业增值服务 (10.0分)</w:t>
            </w:r>
          </w:p>
        </w:tc>
        <w:tc>
          <w:tcPr>
            <w:tcW w:type="dxa" w:w="5076"/>
          </w:tcPr>
          <w:p>
            <w:pPr>
              <w:jc w:val="left"/>
            </w:pPr>
            <w:r>
              <w:rPr/>
              <w:t>1、租赁用房的物业公司或物业公司股东方近3年所服务的商务办公或写字楼物业管理项目经验： 1）单体10万方或以上，得5分； 2）单体5万方或以上，得3分； 3）单体1万方或以上，得1分。 注：提供合同复印件。 2、物业增值服务： 1）优于用户需求书要求，保证措施完善，可行性强的得5分； 2）满足用户需求书要求，保证措施一般，可行性一般的得2分； 3）满足用户需求书要求，保证措施差，可行性差的得1分； 不提供不得分</w:t>
            </w:r>
          </w:p>
        </w:tc>
      </w:tr>
      <w:tr>
        <w:tc>
          <w:tcPr>
            <w:tcW w:type="dxa" w:w="922"/>
            <w:gridSpan w:val="2"/>
            <w:vMerge w:val="restart"/>
          </w:tcPr>
          <w:p>
            <w:pPr>
              <w:jc w:val="center"/>
            </w:pPr>
            <w:r>
              <w:rPr/>
              <w:t>商务部分</w:t>
            </w:r>
          </w:p>
        </w:tc>
        <w:tc>
          <w:tcPr>
            <w:tcW w:type="dxa" w:w="2307"/>
          </w:tcPr>
          <w:p>
            <w:pPr>
              <w:jc w:val="left"/>
            </w:pPr>
            <w:r>
              <w:rPr/>
              <w:t>商业配套 (5.0分)</w:t>
            </w:r>
          </w:p>
        </w:tc>
        <w:tc>
          <w:tcPr>
            <w:tcW w:type="dxa" w:w="5076"/>
          </w:tcPr>
          <w:p>
            <w:pPr>
              <w:jc w:val="left"/>
            </w:pPr>
            <w:r>
              <w:rPr/>
              <w:t>租赁物业1500米范围内配备配套商业： 1、不少于2万平方的，得5分； 2、不少于1万平方的，得2分； 3、不少于5000平方的，得1分。 注：提供能体现商业配套面积的证明材料。</w:t>
            </w:r>
          </w:p>
        </w:tc>
      </w:tr>
      <w:tr>
        <w:tc>
          <w:tcPr>
            <w:tcW w:type="dxa" w:w="922"/>
            <w:gridSpan w:val="2"/>
            <w:vMerge/>
          </w:tcPr>
          <w:p/>
        </w:tc>
        <w:tc>
          <w:tcPr>
            <w:tcW w:type="dxa" w:w="2307"/>
          </w:tcPr>
          <w:p>
            <w:pPr>
              <w:jc w:val="left"/>
            </w:pPr>
            <w:r>
              <w:rPr/>
              <w:t>租赁用房地址便利性 (10.0分)</w:t>
            </w:r>
          </w:p>
        </w:tc>
        <w:tc>
          <w:tcPr>
            <w:tcW w:type="dxa" w:w="5076"/>
          </w:tcPr>
          <w:p>
            <w:pPr>
              <w:jc w:val="left"/>
            </w:pPr>
            <w:r>
              <w:rPr/>
              <w:t>广州市南沙区蕉门河范围内，距蕉门地铁站（以高德地图步行距离为准）： 1公里以内，得10分；2公里以内，得5分；3公里以内，得1分。 注：租赁用房必须是商务办公性质的。如为自有，则提供权属证明；如为租赁，则应提供租赁合同及出租屋管理部门备案证明；如为第三方无偿提供使用的，则应提供无偿使用协书及公证机构出具的公证书，不能提供上述材料的本项得0分。</w:t>
            </w:r>
          </w:p>
        </w:tc>
      </w:tr>
      <w:tr>
        <w:tc>
          <w:tcPr>
            <w:tcW w:type="dxa" w:w="922"/>
            <w:gridSpan w:val="2"/>
            <w:vMerge/>
          </w:tcPr>
          <w:p/>
        </w:tc>
        <w:tc>
          <w:tcPr>
            <w:tcW w:type="dxa" w:w="2307"/>
          </w:tcPr>
          <w:p>
            <w:pPr>
              <w:jc w:val="left"/>
            </w:pPr>
            <w:r>
              <w:rPr/>
              <w:t>投标人工程团队力量 (10.0分)</w:t>
            </w:r>
          </w:p>
        </w:tc>
        <w:tc>
          <w:tcPr>
            <w:tcW w:type="dxa" w:w="5076"/>
          </w:tcPr>
          <w:p>
            <w:pPr>
              <w:jc w:val="left"/>
            </w:pPr>
            <w:r>
              <w:rPr/>
              <w:t>投标人有独立的工程部，得10分。 投标人不具有独立的工程部，得0分。</w:t>
            </w:r>
          </w:p>
        </w:tc>
      </w:tr>
      <w:tr>
        <w:tc>
          <w:tcPr>
            <w:tcW w:type="dxa" w:w="922"/>
            <w:gridSpan w:val="2"/>
            <w:vMerge/>
          </w:tcPr>
          <w:p/>
        </w:tc>
        <w:tc>
          <w:tcPr>
            <w:tcW w:type="dxa" w:w="2307"/>
          </w:tcPr>
          <w:p>
            <w:pPr>
              <w:jc w:val="left"/>
            </w:pPr>
            <w:r>
              <w:rPr/>
              <w:t>应急响应能力 (10.0分)</w:t>
            </w:r>
          </w:p>
        </w:tc>
        <w:tc>
          <w:tcPr>
            <w:tcW w:type="dxa" w:w="5076"/>
          </w:tcPr>
          <w:p>
            <w:pPr>
              <w:jc w:val="left"/>
            </w:pPr>
            <w:r>
              <w:rPr/>
              <w:t>投标人对突发性服务进行响应，具有一次性调派10人以上的服务能力（提供当地的居住证明或社保证明），针对本项目制定的快速响应承诺函时间进行评分： 1、接到服务通知15分钟内到场响应并按要求有效开展工作的得10分； 2、接到服务通知30分钟内到场响应并按要求有效开展工作的得6分； 3、接到服务通知60分钟内到场响应并按要求有效开展工作的得3分； 4、接到服务通知超出1小时到场响应并按要求有效开展工作的得1分； 5、其他情况不得分。 【注：响应时间以投标人服务机构办公场所到达拟租赁房屋所在地高德地图查询为准，须提供高德地图驾车最短时间截图，同时，投标人除提供快速响应承诺函外，还须提供营业执照或公司分支机构的房产证或有效期内的场地租赁合同复印件。</w:t>
            </w:r>
          </w:p>
        </w:tc>
      </w:tr>
      <w:tr>
        <w:tc>
          <w:tcPr>
            <w:tcW w:type="dxa" w:w="922"/>
            <w:gridSpan w:val="2"/>
            <w:vMerge/>
          </w:tcPr>
          <w:p/>
        </w:tc>
        <w:tc>
          <w:tcPr>
            <w:tcW w:type="dxa" w:w="2307"/>
          </w:tcPr>
          <w:p>
            <w:pPr>
              <w:jc w:val="left"/>
            </w:pPr>
            <w:r>
              <w:rPr/>
              <w:t>租赁用房停车场配套 (5.0分)</w:t>
            </w:r>
          </w:p>
        </w:tc>
        <w:tc>
          <w:tcPr>
            <w:tcW w:type="dxa" w:w="5076"/>
          </w:tcPr>
          <w:p>
            <w:pPr>
              <w:jc w:val="left"/>
            </w:pPr>
            <w:r>
              <w:rPr/>
              <w:t>投标人提供停车车位，根据响应的配套停车场进行评分： 车位数量大于或等于用户需求书中规定的车位数量，得5分； 不符合上述条件的，得0分。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both"/>
      </w:pPr>
      <w:r>
        <w:rPr>
          <w:b/>
          <w:sz w:val="24"/>
        </w:rPr>
        <w:t>注：本合同条款仅供参考，最终以甲方提供的样本并经甲乙双方协商一致的合同为准。</w:t>
      </w:r>
    </w:p>
    <w:p>
      <w:pPr>
        <w:ind w:firstLine="482"/>
        <w:jc w:val="center"/>
      </w:pPr>
      <w:r>
        <w:rPr>
          <w:b/>
          <w:sz w:val="24"/>
        </w:rPr>
        <w:t>（《采购人需求》中另有规定的，以采购人需求为准）</w:t>
      </w:r>
    </w:p>
    <w:p>
      <w:pPr>
        <w:jc w:val="center"/>
      </w:pPr>
    </w:p>
    <w:p>
      <w:pPr>
        <w:jc w:val="center"/>
      </w:pPr>
      <w:r>
        <w:rPr>
          <w:b/>
          <w:sz w:val="44"/>
        </w:rPr>
        <w:t>大湾区科学论坛秘书处办公场所租赁</w:t>
      </w:r>
    </w:p>
    <w:p>
      <w:pPr>
        <w:jc w:val="center"/>
      </w:pPr>
    </w:p>
    <w:p>
      <w:pPr>
        <w:jc w:val="both"/>
      </w:pPr>
    </w:p>
    <w:p>
      <w:pPr>
        <w:jc w:val="center"/>
      </w:pPr>
      <w:r>
        <w:rPr>
          <w:b/>
          <w:sz w:val="72"/>
        </w:rPr>
        <w:t>合</w:t>
      </w:r>
      <w:r>
        <w:rPr>
          <w:b/>
          <w:sz w:val="72"/>
        </w:rPr>
        <w:t>同</w:t>
      </w:r>
      <w:r>
        <w:rPr>
          <w:b/>
          <w:sz w:val="72"/>
        </w:rPr>
        <w:t>书</w:t>
      </w:r>
    </w:p>
    <w:p>
      <w:pPr>
        <w:jc w:val="center"/>
      </w:pPr>
    </w:p>
    <w:p>
      <w:pPr>
        <w:jc w:val="both"/>
      </w:pPr>
    </w:p>
    <w:p>
      <w:pPr>
        <w:ind w:firstLine="480"/>
      </w:pPr>
      <w:r>
        <w:rPr>
          <w:sz w:val="28"/>
        </w:rPr>
        <w:t>项目名称：</w:t>
      </w:r>
      <w:r>
        <w:rPr>
          <w:sz w:val="28"/>
          <w:u w:val="single"/>
        </w:rPr>
        <w:t xml:space="preserve"> </w:t>
      </w:r>
      <w:r>
        <w:rPr>
          <w:sz w:val="28"/>
          <w:u w:val="single"/>
        </w:rPr>
        <w:t>大湾区科学论坛秘书处办公场所租赁</w:t>
      </w:r>
    </w:p>
    <w:p>
      <w:r>
        <w:rPr>
          <w:sz w:val="28"/>
        </w:rPr>
        <w:t>项目编号：</w:t>
      </w:r>
      <w:r>
        <w:rPr>
          <w:u w:val="single"/>
        </w:rPr>
        <w:t xml:space="preserve">    </w:t>
      </w:r>
      <w:r>
        <w:rPr>
          <w:u w:val="single"/>
        </w:rPr>
        <w:t xml:space="preserve">                      </w:t>
      </w:r>
      <w:r>
        <w:rPr>
          <w:u w:val="single"/>
        </w:rPr>
        <w:t xml:space="preserve">     </w:t>
      </w:r>
    </w:p>
    <w:p>
      <w:r>
        <w:rPr>
          <w:sz w:val="28"/>
        </w:rPr>
        <w:t>项目地点：</w:t>
      </w:r>
      <w:r>
        <w:rPr>
          <w:sz w:val="28"/>
          <w:u w:val="single"/>
        </w:rPr>
        <w:t>广州市南沙区</w:t>
      </w:r>
      <w:r>
        <w:rPr>
          <w:u w:val="single"/>
        </w:rPr>
        <w:t xml:space="preserve">                             </w:t>
      </w:r>
      <w:r>
        <w:rPr>
          <w:u w:val="single"/>
        </w:rPr>
        <w:t xml:space="preserve"> </w:t>
      </w:r>
    </w:p>
    <w:p>
      <w:r>
        <w:rPr>
          <w:sz w:val="28"/>
        </w:rPr>
        <w:t>甲</w:t>
      </w:r>
      <w:r>
        <w:rPr>
          <w:sz w:val="28"/>
        </w:rPr>
        <w:t xml:space="preserve">   </w:t>
      </w:r>
      <w:r>
        <w:rPr>
          <w:sz w:val="28"/>
        </w:rPr>
        <w:t>方：</w:t>
      </w:r>
      <w:r>
        <w:rPr>
          <w:sz w:val="21"/>
          <w:u w:val="single"/>
        </w:rPr>
        <w:t xml:space="preserve">                                      </w:t>
      </w:r>
      <w:r>
        <w:rPr>
          <w:sz w:val="21"/>
          <w:u w:val="single"/>
        </w:rPr>
        <w:t>_</w:t>
      </w:r>
    </w:p>
    <w:p>
      <w:r>
        <w:rPr>
          <w:sz w:val="28"/>
        </w:rPr>
        <w:t>乙</w:t>
      </w:r>
      <w:r>
        <w:rPr>
          <w:sz w:val="28"/>
        </w:rPr>
        <w:t xml:space="preserve">   </w:t>
      </w:r>
      <w:r>
        <w:rPr>
          <w:sz w:val="28"/>
        </w:rPr>
        <w:t>方：</w:t>
      </w:r>
      <w:r>
        <w:rPr>
          <w:sz w:val="21"/>
          <w:u w:val="single"/>
        </w:rPr>
        <w:t xml:space="preserve">                                      </w:t>
      </w:r>
      <w:r>
        <w:rPr>
          <w:sz w:val="21"/>
          <w:u w:val="single"/>
        </w:rPr>
        <w:t>_</w:t>
      </w:r>
      <w:r>
        <w:rPr>
          <w:u w:val="single"/>
        </w:rPr>
        <w:t xml:space="preserve"> </w:t>
      </w:r>
    </w:p>
    <w:p>
      <w:r>
        <w:rPr>
          <w:sz w:val="28"/>
        </w:rPr>
        <w:t>签订日期：</w:t>
      </w:r>
      <w:r>
        <w:rPr>
          <w:sz w:val="28"/>
          <w:u w:val="single"/>
        </w:rPr>
        <w:t>2022</w:t>
      </w:r>
      <w:r>
        <w:rPr>
          <w:sz w:val="28"/>
          <w:u w:val="single"/>
        </w:rPr>
        <w:t xml:space="preserve">年    月                           </w:t>
      </w:r>
      <w:r>
        <w:rPr>
          <w:u w:val="single"/>
        </w:rPr>
        <w:t xml:space="preserve">  </w:t>
      </w:r>
    </w:p>
    <w:p>
      <w:pPr>
        <w:jc w:val="center"/>
      </w:pPr>
    </w:p>
    <w:p>
      <w:pPr>
        <w:jc w:val="center"/>
      </w:pPr>
    </w:p>
    <w:p>
      <w:pPr>
        <w:jc w:val="center"/>
      </w:pPr>
    </w:p>
    <w:p>
      <w:pPr>
        <w:jc w:val="both"/>
      </w:pPr>
    </w:p>
    <w:p/>
    <w:p/>
    <w:p>
      <w:r>
        <w:rPr/>
        <w:t xml:space="preserve"> </w:t>
      </w:r>
    </w:p>
    <w:p>
      <w:pPr>
        <w:jc w:val="center"/>
      </w:pPr>
      <w:r>
        <w:rPr>
          <w:b/>
          <w:sz w:val="36"/>
        </w:rPr>
        <w:t>大湾区科学论坛秘书处办公场所租赁</w:t>
      </w:r>
    </w:p>
    <w:p>
      <w:pPr>
        <w:ind w:firstLine="2249"/>
      </w:pPr>
    </w:p>
    <w:p>
      <w:pPr>
        <w:jc w:val="center"/>
      </w:pPr>
      <w:r>
        <w:rPr>
          <w:b/>
          <w:sz w:val="36"/>
        </w:rPr>
        <w:t>合</w:t>
      </w:r>
      <w:r>
        <w:rPr>
          <w:b/>
          <w:sz w:val="36"/>
        </w:rPr>
        <w:t>同</w:t>
      </w:r>
      <w:r>
        <w:rPr>
          <w:b/>
          <w:sz w:val="36"/>
        </w:rPr>
        <w:t>书</w:t>
      </w:r>
    </w:p>
    <w:p>
      <w:pPr>
        <w:jc w:val="both"/>
      </w:pPr>
    </w:p>
    <w:p>
      <w:r>
        <w:rPr>
          <w:sz w:val="24"/>
        </w:rPr>
        <w:t>合同编号：</w:t>
      </w:r>
    </w:p>
    <w:p>
      <w:r>
        <w:rPr>
          <w:sz w:val="24"/>
        </w:rPr>
        <w:t>甲方：</w:t>
      </w:r>
    </w:p>
    <w:p>
      <w:r>
        <w:rPr>
          <w:sz w:val="24"/>
        </w:rPr>
        <w:t>法定代表人：</w:t>
      </w:r>
    </w:p>
    <w:p>
      <w:r>
        <w:rPr>
          <w:sz w:val="24"/>
        </w:rPr>
        <w:t>地址：</w:t>
      </w:r>
    </w:p>
    <w:p>
      <w:r>
        <w:rPr>
          <w:sz w:val="24"/>
        </w:rPr>
        <w:t>联系人：</w:t>
      </w:r>
    </w:p>
    <w:p>
      <w:r>
        <w:rPr>
          <w:sz w:val="24"/>
        </w:rPr>
        <w:t>联系方式：</w:t>
      </w:r>
    </w:p>
    <w:p>
      <w:r>
        <w:rPr>
          <w:sz w:val="24"/>
        </w:rPr>
        <w:t>邮箱</w:t>
      </w:r>
      <w:r>
        <w:rPr>
          <w:sz w:val="24"/>
        </w:rPr>
        <w:t>/</w:t>
      </w:r>
      <w:r>
        <w:rPr>
          <w:sz w:val="24"/>
        </w:rPr>
        <w:t>传真：</w:t>
      </w:r>
    </w:p>
    <w:p/>
    <w:p>
      <w:r>
        <w:rPr>
          <w:sz w:val="24"/>
        </w:rPr>
        <w:t>乙方：</w:t>
      </w:r>
    </w:p>
    <w:p>
      <w:r>
        <w:rPr>
          <w:sz w:val="24"/>
        </w:rPr>
        <w:t>法定代表人：</w:t>
      </w:r>
    </w:p>
    <w:p>
      <w:r>
        <w:rPr>
          <w:sz w:val="24"/>
        </w:rPr>
        <w:t>统一社会信用代码：</w:t>
      </w:r>
    </w:p>
    <w:p>
      <w:r>
        <w:rPr>
          <w:sz w:val="24"/>
        </w:rPr>
        <w:t>地址：</w:t>
      </w:r>
    </w:p>
    <w:p>
      <w:r>
        <w:rPr>
          <w:sz w:val="24"/>
        </w:rPr>
        <w:t>联系人：</w:t>
      </w:r>
    </w:p>
    <w:p>
      <w:r>
        <w:rPr>
          <w:sz w:val="24"/>
        </w:rPr>
        <w:t>联系方式：</w:t>
      </w:r>
    </w:p>
    <w:p>
      <w:r>
        <w:rPr>
          <w:sz w:val="24"/>
        </w:rPr>
        <w:t>邮箱</w:t>
      </w:r>
      <w:r>
        <w:rPr>
          <w:sz w:val="24"/>
        </w:rPr>
        <w:t>/</w:t>
      </w:r>
      <w:r>
        <w:rPr>
          <w:sz w:val="24"/>
        </w:rPr>
        <w:t>传真：</w:t>
      </w:r>
    </w:p>
    <w:p>
      <w:r>
        <w:rPr/>
        <w:t xml:space="preserve">                             </w:t>
      </w:r>
    </w:p>
    <w:p>
      <w:pPr>
        <w:ind w:firstLine="480"/>
        <w:jc w:val="both"/>
      </w:pPr>
      <w:r>
        <w:rPr>
          <w:sz w:val="24"/>
        </w:rPr>
        <w:t>根据采购结果，按照《中华人民共和国政府采购法》、</w:t>
      </w:r>
      <w:r>
        <w:rPr>
          <w:sz w:val="24"/>
        </w:rPr>
        <w:t>《中华人民共和国民法典》等相关法律法规</w:t>
      </w:r>
      <w:r>
        <w:rPr>
          <w:sz w:val="24"/>
        </w:rPr>
        <w:t>的规定，经双方协商，本着平等互利和诚实信用的原则，一致同意签订本合同如下。</w:t>
      </w:r>
    </w:p>
    <w:p>
      <w:pPr>
        <w:ind w:firstLine="482"/>
      </w:pPr>
      <w:r>
        <w:rPr>
          <w:b/>
          <w:sz w:val="24"/>
        </w:rPr>
        <w:t>第一条</w:t>
      </w:r>
      <w:r>
        <w:rPr>
          <w:b/>
        </w:rPr>
        <w:t xml:space="preserve"> </w:t>
      </w:r>
      <w:r>
        <w:rPr>
          <w:sz w:val="24"/>
        </w:rPr>
        <w:t>乙方</w:t>
      </w:r>
      <w:r>
        <w:rPr>
          <w:sz w:val="24"/>
        </w:rPr>
        <w:t>同意将</w:t>
      </w:r>
      <w:r>
        <w:rPr>
          <w:sz w:val="24"/>
        </w:rPr>
        <w:t>其拥有合法</w:t>
      </w:r>
      <w:r>
        <w:rPr>
          <w:sz w:val="24"/>
        </w:rPr>
        <w:t>产权</w:t>
      </w:r>
      <w:r>
        <w:rPr>
          <w:sz w:val="24"/>
        </w:rPr>
        <w:t>/</w:t>
      </w:r>
      <w:r>
        <w:rPr>
          <w:sz w:val="24"/>
        </w:rPr>
        <w:t>使用权、</w:t>
      </w:r>
      <w:r>
        <w:rPr>
          <w:sz w:val="24"/>
        </w:rPr>
        <w:t>坐落在</w:t>
      </w:r>
      <w:r>
        <w:rPr>
          <w:u w:val="single"/>
        </w:rPr>
        <w:t xml:space="preserve">   </w:t>
      </w:r>
      <w:r>
        <w:rPr>
          <w:u w:val="single"/>
        </w:rPr>
        <w:t xml:space="preserve">    </w:t>
      </w:r>
      <w:r>
        <w:rPr>
          <w:sz w:val="24"/>
        </w:rPr>
        <w:t>（以下合称</w:t>
      </w:r>
      <w:r>
        <w:rPr>
          <w:sz w:val="24"/>
        </w:rPr>
        <w:t>“</w:t>
      </w:r>
      <w:r>
        <w:rPr>
          <w:sz w:val="24"/>
        </w:rPr>
        <w:t>承租物业</w:t>
      </w:r>
      <w:r>
        <w:rPr>
          <w:sz w:val="24"/>
        </w:rPr>
        <w:t>”</w:t>
      </w:r>
      <w:r>
        <w:rPr>
          <w:sz w:val="24"/>
        </w:rPr>
        <w:t>）</w:t>
      </w:r>
      <w:r>
        <w:rPr>
          <w:sz w:val="24"/>
        </w:rPr>
        <w:t>以现状交付甲方，</w:t>
      </w:r>
      <w:r>
        <w:rPr>
          <w:sz w:val="24"/>
        </w:rPr>
        <w:t>出租给甲方作</w:t>
      </w:r>
      <w:r>
        <w:rPr>
          <w:sz w:val="24"/>
        </w:rPr>
        <w:t>大湾区科学论坛秘书处办公场所租赁</w:t>
      </w:r>
      <w:r>
        <w:rPr>
          <w:sz w:val="24"/>
          <w:u w:val="single"/>
        </w:rPr>
        <w:t>，承租物业只能用于</w:t>
      </w:r>
      <w:r>
        <w:rPr>
          <w:sz w:val="24"/>
          <w:u w:val="single"/>
        </w:rPr>
        <w:t>业务办公</w:t>
      </w:r>
      <w:r>
        <w:rPr>
          <w:sz w:val="24"/>
          <w:u w:val="single"/>
        </w:rPr>
        <w:t>用途，不得用作</w:t>
      </w:r>
      <w:r>
        <w:rPr>
          <w:sz w:val="24"/>
          <w:u w:val="single"/>
        </w:rPr>
        <w:t>其它</w:t>
      </w:r>
      <w:r>
        <w:rPr>
          <w:sz w:val="24"/>
          <w:u w:val="single"/>
        </w:rPr>
        <w:t>用途</w:t>
      </w:r>
      <w:r>
        <w:rPr>
          <w:sz w:val="24"/>
        </w:rPr>
        <w:t>，承租总</w:t>
      </w:r>
      <w:r>
        <w:rPr>
          <w:sz w:val="24"/>
        </w:rPr>
        <w:t>建筑面积</w:t>
      </w:r>
      <w:r>
        <w:rPr>
          <w:u w:val="single"/>
        </w:rPr>
        <w:t xml:space="preserve">     </w:t>
      </w:r>
      <w:r>
        <w:rPr>
          <w:sz w:val="24"/>
        </w:rPr>
        <w:t>平方米。</w:t>
      </w:r>
      <w:r>
        <w:rPr>
          <w:sz w:val="24"/>
        </w:rPr>
        <w:t>承租物业现状墙体水管无渗漏、门窗齐全</w:t>
      </w:r>
      <w:r>
        <w:rPr>
          <w:sz w:val="24"/>
        </w:rPr>
        <w:t>，</w:t>
      </w:r>
      <w:r>
        <w:rPr>
          <w:sz w:val="24"/>
        </w:rPr>
        <w:t>按带装修状态交楼，且经</w:t>
      </w:r>
      <w:r>
        <w:rPr>
          <w:sz w:val="24"/>
        </w:rPr>
        <w:t>双方</w:t>
      </w:r>
      <w:r>
        <w:rPr>
          <w:sz w:val="24"/>
        </w:rPr>
        <w:t>现场查验确认，甲方已清楚承租物现状（承租物业现状详见附件）</w:t>
      </w:r>
      <w:r>
        <w:rPr>
          <w:sz w:val="24"/>
        </w:rPr>
        <w:t>。</w:t>
      </w:r>
      <w:r>
        <w:rPr>
          <w:sz w:val="24"/>
        </w:rPr>
        <w:t>承租物业建筑图以及承租物业具体建筑面积详见本合同附件。</w:t>
      </w:r>
    </w:p>
    <w:p>
      <w:pPr>
        <w:ind w:firstLine="482"/>
        <w:jc w:val="both"/>
      </w:pPr>
      <w:r>
        <w:rPr>
          <w:b/>
          <w:sz w:val="24"/>
        </w:rPr>
        <w:t>第二条</w:t>
      </w:r>
      <w:r>
        <w:rPr>
          <w:sz w:val="24"/>
        </w:rPr>
        <w:t xml:space="preserve">   </w:t>
      </w:r>
      <w:r>
        <w:rPr>
          <w:sz w:val="24"/>
        </w:rPr>
        <w:t>租赁期限</w:t>
      </w:r>
      <w:r>
        <w:rPr>
          <w:sz w:val="24"/>
        </w:rPr>
        <w:t>和</w:t>
      </w:r>
      <w:r>
        <w:rPr>
          <w:sz w:val="24"/>
        </w:rPr>
        <w:t>租金标准</w:t>
      </w:r>
    </w:p>
    <w:p>
      <w:pPr>
        <w:ind w:firstLine="480"/>
        <w:jc w:val="both"/>
      </w:pPr>
      <w:r>
        <w:rPr>
          <w:sz w:val="24"/>
        </w:rPr>
        <w:t>1</w:t>
      </w:r>
      <w:r>
        <w:rPr>
          <w:sz w:val="24"/>
        </w:rPr>
        <w:t>、甲、乙双方协定，租赁期限自</w:t>
      </w:r>
      <w:r>
        <w:rPr>
          <w:sz w:val="24"/>
          <w:u w:val="single"/>
        </w:rPr>
        <w:t xml:space="preserve"> </w:t>
      </w:r>
      <w:r>
        <w:rPr>
          <w:sz w:val="24"/>
          <w:u w:val="single"/>
        </w:rPr>
        <w:t xml:space="preserve">    </w:t>
      </w:r>
      <w:r>
        <w:rPr>
          <w:sz w:val="24"/>
        </w:rPr>
        <w:t>年</w:t>
      </w:r>
      <w:r>
        <w:rPr>
          <w:sz w:val="24"/>
          <w:u w:val="single"/>
        </w:rPr>
        <w:t xml:space="preserve"> </w:t>
      </w:r>
      <w:r>
        <w:rPr>
          <w:sz w:val="24"/>
          <w:u w:val="single"/>
        </w:rPr>
        <w:t xml:space="preserve"> </w:t>
      </w:r>
      <w:r>
        <w:rPr>
          <w:sz w:val="24"/>
        </w:rPr>
        <w:t>月</w:t>
      </w:r>
      <w:r>
        <w:rPr>
          <w:sz w:val="24"/>
          <w:u w:val="single"/>
        </w:rPr>
        <w:t xml:space="preserve"> </w:t>
      </w:r>
      <w:r>
        <w:rPr>
          <w:sz w:val="24"/>
          <w:u w:val="single"/>
        </w:rPr>
        <w:t xml:space="preserve"> </w:t>
      </w:r>
      <w:r>
        <w:rPr>
          <w:sz w:val="24"/>
        </w:rPr>
        <w:t>日起至</w:t>
      </w:r>
      <w:r>
        <w:rPr>
          <w:sz w:val="24"/>
          <w:u w:val="single"/>
        </w:rPr>
        <w:t xml:space="preserve">     </w:t>
      </w:r>
      <w:r>
        <w:rPr>
          <w:sz w:val="24"/>
        </w:rPr>
        <w:t>年</w:t>
      </w:r>
      <w:r>
        <w:rPr>
          <w:sz w:val="24"/>
          <w:u w:val="single"/>
        </w:rPr>
        <w:t xml:space="preserve"> </w:t>
      </w:r>
      <w:r>
        <w:rPr>
          <w:sz w:val="24"/>
          <w:u w:val="single"/>
        </w:rPr>
        <w:t xml:space="preserve"> </w:t>
      </w:r>
      <w:r>
        <w:rPr>
          <w:sz w:val="24"/>
        </w:rPr>
        <w:t>月</w:t>
      </w:r>
      <w:r>
        <w:rPr>
          <w:sz w:val="24"/>
          <w:u w:val="single"/>
        </w:rPr>
        <w:t xml:space="preserve"> </w:t>
      </w:r>
      <w:r>
        <w:rPr>
          <w:sz w:val="24"/>
          <w:u w:val="single"/>
        </w:rPr>
        <w:t xml:space="preserve"> </w:t>
      </w:r>
      <w:r>
        <w:rPr>
          <w:sz w:val="24"/>
        </w:rPr>
        <w:t>日止。</w:t>
      </w:r>
    </w:p>
    <w:p>
      <w:pPr>
        <w:ind w:firstLine="480"/>
        <w:jc w:val="both"/>
      </w:pPr>
      <w:r>
        <w:rPr>
          <w:sz w:val="24"/>
        </w:rPr>
        <w:t>2</w:t>
      </w:r>
      <w:r>
        <w:rPr>
          <w:sz w:val="24"/>
        </w:rPr>
        <w:t>、</w:t>
      </w:r>
      <w:r>
        <w:rPr>
          <w:sz w:val="24"/>
        </w:rPr>
        <w:t>甲、乙双方约定的租金单价为人民币</w:t>
      </w:r>
      <w:r>
        <w:rPr>
          <w:sz w:val="24"/>
          <w:u w:val="single"/>
        </w:rPr>
        <w:t xml:space="preserve"> </w:t>
      </w:r>
      <w:r>
        <w:rPr>
          <w:sz w:val="24"/>
          <w:u w:val="single"/>
        </w:rPr>
        <w:t xml:space="preserve">     </w:t>
      </w:r>
      <w:r>
        <w:rPr>
          <w:sz w:val="24"/>
        </w:rPr>
        <w:t>元</w:t>
      </w:r>
      <w:r>
        <w:rPr>
          <w:sz w:val="24"/>
        </w:rPr>
        <w:t>/</w:t>
      </w:r>
      <w:r>
        <w:rPr>
          <w:sz w:val="24"/>
        </w:rPr>
        <w:t>平方米</w:t>
      </w:r>
      <w:r>
        <w:rPr>
          <w:sz w:val="24"/>
        </w:rPr>
        <w:t>/</w:t>
      </w:r>
      <w:r>
        <w:rPr>
          <w:sz w:val="24"/>
        </w:rPr>
        <w:t>月（含物业管理费，不含停车费、装修复原费、水电费、水电周转金等其他费用）。在租赁期限</w:t>
      </w:r>
      <w:r>
        <w:rPr>
          <w:sz w:val="24"/>
          <w:u w:val="single"/>
        </w:rPr>
        <w:t xml:space="preserve"> </w:t>
      </w:r>
      <w:r>
        <w:rPr>
          <w:sz w:val="24"/>
          <w:u w:val="single"/>
        </w:rPr>
        <w:t xml:space="preserve">  </w:t>
      </w:r>
      <w:r>
        <w:rPr>
          <w:sz w:val="24"/>
        </w:rPr>
        <w:t>年</w:t>
      </w:r>
      <w:r>
        <w:rPr>
          <w:sz w:val="24"/>
          <w:u w:val="single"/>
        </w:rPr>
        <w:t xml:space="preserve"> </w:t>
      </w:r>
      <w:r>
        <w:rPr>
          <w:sz w:val="24"/>
          <w:u w:val="single"/>
        </w:rPr>
        <w:t xml:space="preserve">  </w:t>
      </w:r>
      <w:r>
        <w:rPr>
          <w:sz w:val="24"/>
        </w:rPr>
        <w:t>月</w:t>
      </w:r>
      <w:r>
        <w:rPr>
          <w:sz w:val="24"/>
          <w:u w:val="single"/>
        </w:rPr>
        <w:t xml:space="preserve"> </w:t>
      </w:r>
      <w:r>
        <w:rPr>
          <w:sz w:val="24"/>
          <w:u w:val="single"/>
        </w:rPr>
        <w:t xml:space="preserve">  </w:t>
      </w:r>
      <w:r>
        <w:rPr>
          <w:sz w:val="24"/>
        </w:rPr>
        <w:t>日起，每</w:t>
      </w:r>
      <w:r>
        <w:rPr>
          <w:sz w:val="24"/>
        </w:rPr>
        <w:t>1</w:t>
      </w:r>
      <w:r>
        <w:rPr>
          <w:sz w:val="24"/>
        </w:rPr>
        <w:t>年租金递增率为</w:t>
      </w:r>
      <w:r>
        <w:rPr>
          <w:sz w:val="24"/>
          <w:u w:val="single"/>
        </w:rPr>
        <w:t xml:space="preserve"> </w:t>
      </w:r>
      <w:r>
        <w:rPr>
          <w:sz w:val="24"/>
          <w:u w:val="single"/>
        </w:rPr>
        <w:t xml:space="preserve">   </w:t>
      </w:r>
      <w:r>
        <w:rPr>
          <w:sz w:val="24"/>
        </w:rPr>
        <w:t>%</w:t>
      </w:r>
      <w:r>
        <w:rPr>
          <w:sz w:val="24"/>
        </w:rPr>
        <w:t>。租</w:t>
      </w:r>
      <w:r>
        <w:rPr>
          <w:sz w:val="24"/>
        </w:rPr>
        <w:t>金标准（以本合同总建筑面积计算）具体情况如下</w:t>
      </w:r>
      <w:r>
        <w:rPr>
          <w:sz w:val="24"/>
        </w:rPr>
        <w:t>：</w:t>
      </w:r>
    </w:p>
    <w:tbl>
      <w:tblPr>
        <w:tblW w:w="0" w:type="auto"/>
        <w:tblBorders>
          <w:top w:val="none" w:color="000000" w:sz="4"/>
          <w:left w:val="none" w:color="000000" w:sz="4"/>
          <w:bottom w:val="none" w:color="000000" w:sz="4"/>
          <w:right w:val="none" w:color="000000" w:sz="4"/>
          <w:insideH w:val="none"/>
          <w:insideV w:val="none"/>
        </w:tblBorders>
      </w:tblPr>
      <w:tblGrid>
        <w:gridCol w:w="2217"/>
        <w:gridCol w:w="1193"/>
        <w:gridCol w:w="2652"/>
        <w:gridCol w:w="2245"/>
      </w:tblGrid>
      <w:tr>
        <w:tc>
          <w:tcPr>
            <w:tcW w:type="dxa" w:w="2217"/>
            <w:vMerge w:val="restart"/>
            <w:tcBorders>
              <w:top w:val="single" w:color="000000" w:sz="4"/>
              <w:left w:val="single" w:color="000000" w:sz="4"/>
              <w:bottom w:val="single" w:color="000000" w:sz="4"/>
              <w:right w:val="single" w:color="000000" w:sz="4"/>
            </w:tcBorders>
            <w:vAlign w:val="top"/>
          </w:tcPr>
          <w:p>
            <w:pPr>
              <w:jc w:val="center"/>
            </w:pPr>
            <w:r>
              <w:rPr>
                <w:sz w:val="24"/>
              </w:rPr>
              <w:t>租赁期限</w:t>
            </w:r>
          </w:p>
        </w:tc>
        <w:tc>
          <w:tcPr>
            <w:tcW w:type="dxa" w:w="3845"/>
            <w:gridSpan w:val="2"/>
            <w:tcBorders>
              <w:top w:val="single" w:color="000000" w:sz="4"/>
              <w:left w:val="single" w:color="000000" w:sz="4"/>
              <w:bottom w:val="single" w:color="000000" w:sz="4"/>
              <w:right w:val="single" w:color="000000" w:sz="4"/>
            </w:tcBorders>
            <w:vAlign w:val="top"/>
          </w:tcPr>
          <w:p>
            <w:pPr>
              <w:jc w:val="center"/>
            </w:pPr>
            <w:r>
              <w:rPr>
                <w:sz w:val="24"/>
              </w:rPr>
              <w:t>月租金额</w:t>
            </w:r>
          </w:p>
          <w:p>
            <w:pPr>
              <w:jc w:val="center"/>
            </w:pPr>
            <w:r>
              <w:rPr>
                <w:sz w:val="24"/>
              </w:rPr>
              <w:t>（币种：人民币，单位：元）</w:t>
            </w:r>
          </w:p>
        </w:tc>
        <w:tc>
          <w:tcPr>
            <w:tcW w:type="dxa" w:w="2245"/>
            <w:vMerge w:val="restart"/>
            <w:tcBorders>
              <w:top w:val="single" w:color="000000" w:sz="4"/>
              <w:left w:val="single" w:color="000000" w:sz="4"/>
              <w:bottom w:val="single" w:color="000000" w:sz="4"/>
              <w:right w:val="single" w:color="000000" w:sz="4"/>
            </w:tcBorders>
            <w:vAlign w:val="top"/>
          </w:tcPr>
          <w:p>
            <w:pPr>
              <w:jc w:val="center"/>
            </w:pPr>
            <w:r>
              <w:rPr>
                <w:sz w:val="24"/>
              </w:rPr>
              <w:t>备注</w:t>
            </w:r>
          </w:p>
        </w:tc>
      </w:tr>
      <w:tr>
        <w:tc>
          <w:tcPr>
            <w:tcW w:type="dxa" w:w="2217"/>
            <w:vMerge/>
            <w:tcBorders>
              <w:top w:val="single" w:color="000000" w:sz="4"/>
              <w:left w:val="single" w:color="000000" w:sz="4"/>
              <w:bottom w:val="single" w:color="000000" w:sz="4"/>
              <w:right w:val="single" w:color="000000" w:sz="4"/>
            </w:tcBorders>
          </w:tcPr>
          <w:p/>
        </w:tc>
        <w:tc>
          <w:tcPr>
            <w:tcW w:type="dxa" w:w="1193"/>
            <w:tcBorders>
              <w:top w:val="none" w:color="000000" w:sz="4"/>
              <w:left w:val="single" w:color="000000" w:sz="4"/>
              <w:bottom w:val="single" w:color="000000" w:sz="4"/>
              <w:right w:val="single" w:color="000000" w:sz="4"/>
            </w:tcBorders>
            <w:vAlign w:val="top"/>
          </w:tcPr>
          <w:p>
            <w:pPr>
              <w:jc w:val="center"/>
            </w:pPr>
            <w:r>
              <w:rPr>
                <w:sz w:val="24"/>
              </w:rPr>
              <w:t>小写</w:t>
            </w:r>
          </w:p>
        </w:tc>
        <w:tc>
          <w:tcPr>
            <w:tcW w:type="dxa" w:w="2652"/>
            <w:tcBorders>
              <w:top w:val="none" w:color="000000" w:sz="4"/>
              <w:left w:val="single" w:color="000000" w:sz="4"/>
              <w:bottom w:val="single" w:color="000000" w:sz="4"/>
              <w:right w:val="single" w:color="000000" w:sz="4"/>
            </w:tcBorders>
            <w:vAlign w:val="top"/>
          </w:tcPr>
          <w:p>
            <w:pPr>
              <w:jc w:val="center"/>
            </w:pPr>
            <w:r>
              <w:rPr>
                <w:sz w:val="24"/>
              </w:rPr>
              <w:t>大写</w:t>
            </w:r>
          </w:p>
        </w:tc>
      </w:tr>
      <w:tr>
        <w:tc>
          <w:tcPr>
            <w:tcW w:type="dxa" w:w="2217"/>
            <w:tcBorders>
              <w:top w:val="none" w:color="000000" w:sz="4"/>
              <w:left w:val="single" w:color="000000" w:sz="4"/>
              <w:bottom w:val="single" w:color="000000" w:sz="4"/>
              <w:right w:val="single" w:color="000000" w:sz="4"/>
            </w:tcBorders>
            <w:vAlign w:val="top"/>
          </w:tcPr>
          <w:p>
            <w:pPr>
              <w:jc w:val="center"/>
            </w:pPr>
          </w:p>
        </w:tc>
        <w:tc>
          <w:tcPr>
            <w:tcW w:type="dxa" w:w="1193"/>
            <w:tcBorders>
              <w:top w:val="none" w:color="000000" w:sz="4"/>
              <w:left w:val="single" w:color="000000" w:sz="4"/>
              <w:bottom w:val="single" w:color="000000" w:sz="4"/>
              <w:right w:val="single" w:color="000000" w:sz="4"/>
            </w:tcBorders>
            <w:vAlign w:val="top"/>
          </w:tcPr>
          <w:p>
            <w:pPr>
              <w:jc w:val="center"/>
            </w:pPr>
          </w:p>
        </w:tc>
        <w:tc>
          <w:tcPr>
            <w:tcW w:type="dxa" w:w="2652"/>
            <w:tcBorders>
              <w:top w:val="none" w:color="000000" w:sz="4"/>
              <w:left w:val="single" w:color="000000" w:sz="4"/>
              <w:bottom w:val="single" w:color="000000" w:sz="4"/>
              <w:right w:val="single" w:color="000000" w:sz="4"/>
            </w:tcBorders>
            <w:vAlign w:val="top"/>
          </w:tcPr>
          <w:p>
            <w:pPr>
              <w:jc w:val="center"/>
            </w:pPr>
          </w:p>
        </w:tc>
        <w:tc>
          <w:tcPr>
            <w:tcW w:type="dxa" w:w="2245"/>
            <w:vMerge w:val="restart"/>
            <w:tcBorders>
              <w:top w:val="none" w:color="000000" w:sz="4"/>
              <w:left w:val="single" w:color="000000" w:sz="4"/>
              <w:bottom w:val="single" w:color="000000" w:sz="4"/>
              <w:right w:val="single" w:color="000000" w:sz="4"/>
            </w:tcBorders>
            <w:vAlign w:val="top"/>
          </w:tcPr>
          <w:p>
            <w:pPr>
              <w:jc w:val="both"/>
            </w:pPr>
            <w:r>
              <w:rPr>
                <w:sz w:val="24"/>
              </w:rPr>
              <w:t>服务内容包括：场地出租。物业管理服务内容详见承租物业实际使用方与乙方指定的物业管理方签订的物业管理合同。</w:t>
            </w:r>
          </w:p>
        </w:tc>
      </w:tr>
      <w:tr>
        <w:tc>
          <w:tcPr>
            <w:tcW w:type="dxa" w:w="2217"/>
            <w:tcBorders>
              <w:top w:val="none" w:color="000000" w:sz="4"/>
              <w:left w:val="single" w:color="000000" w:sz="4"/>
              <w:bottom w:val="single" w:color="000000" w:sz="4"/>
              <w:right w:val="single" w:color="000000" w:sz="4"/>
            </w:tcBorders>
            <w:vAlign w:val="top"/>
          </w:tcPr>
          <w:p>
            <w:pPr>
              <w:jc w:val="center"/>
            </w:pPr>
          </w:p>
        </w:tc>
        <w:tc>
          <w:tcPr>
            <w:tcW w:type="dxa" w:w="1193"/>
            <w:tcBorders>
              <w:top w:val="none" w:color="000000" w:sz="4"/>
              <w:left w:val="single" w:color="000000" w:sz="4"/>
              <w:bottom w:val="single" w:color="000000" w:sz="4"/>
              <w:right w:val="single" w:color="000000" w:sz="4"/>
            </w:tcBorders>
            <w:vAlign w:val="top"/>
          </w:tcPr>
          <w:p>
            <w:pPr>
              <w:jc w:val="center"/>
            </w:pPr>
          </w:p>
        </w:tc>
        <w:tc>
          <w:tcPr>
            <w:tcW w:type="dxa" w:w="2652"/>
            <w:tcBorders>
              <w:top w:val="none" w:color="000000" w:sz="4"/>
              <w:left w:val="single" w:color="000000" w:sz="4"/>
              <w:bottom w:val="single" w:color="000000" w:sz="4"/>
              <w:right w:val="single" w:color="000000" w:sz="4"/>
            </w:tcBorders>
            <w:vAlign w:val="top"/>
          </w:tcPr>
          <w:p>
            <w:pPr>
              <w:jc w:val="center"/>
            </w:pPr>
          </w:p>
        </w:tc>
      </w:tr>
      <w:tr>
        <w:tc>
          <w:tcPr>
            <w:tcW w:type="dxa" w:w="2217"/>
            <w:tcBorders>
              <w:top w:val="none" w:color="000000" w:sz="4"/>
              <w:left w:val="single" w:color="000000" w:sz="4"/>
              <w:bottom w:val="single" w:color="000000" w:sz="4"/>
              <w:right w:val="single" w:color="000000" w:sz="4"/>
            </w:tcBorders>
            <w:vAlign w:val="top"/>
          </w:tcPr>
          <w:p>
            <w:pPr>
              <w:jc w:val="center"/>
            </w:pPr>
          </w:p>
        </w:tc>
        <w:tc>
          <w:tcPr>
            <w:tcW w:type="dxa" w:w="1193"/>
            <w:tcBorders>
              <w:top w:val="none" w:color="000000" w:sz="4"/>
              <w:left w:val="single" w:color="000000" w:sz="4"/>
              <w:bottom w:val="single" w:color="000000" w:sz="4"/>
              <w:right w:val="single" w:color="000000" w:sz="4"/>
            </w:tcBorders>
            <w:vAlign w:val="top"/>
          </w:tcPr>
          <w:p>
            <w:pPr>
              <w:jc w:val="center"/>
            </w:pPr>
          </w:p>
        </w:tc>
        <w:tc>
          <w:tcPr>
            <w:tcW w:type="dxa" w:w="2652"/>
            <w:tcBorders>
              <w:top w:val="none" w:color="000000" w:sz="4"/>
              <w:left w:val="single" w:color="000000" w:sz="4"/>
              <w:bottom w:val="single" w:color="000000" w:sz="4"/>
              <w:right w:val="single" w:color="000000" w:sz="4"/>
            </w:tcBorders>
            <w:vAlign w:val="top"/>
          </w:tcPr>
          <w:p>
            <w:pPr>
              <w:jc w:val="center"/>
            </w:pPr>
          </w:p>
        </w:tc>
      </w:tr>
    </w:tbl>
    <w:p>
      <w:pPr>
        <w:ind w:firstLine="480"/>
        <w:jc w:val="both"/>
      </w:pPr>
      <w:r>
        <w:rPr>
          <w:sz w:val="24"/>
        </w:rPr>
        <w:t>3</w:t>
      </w:r>
      <w:r>
        <w:rPr>
          <w:sz w:val="24"/>
        </w:rPr>
        <w:t>、付款方式：</w:t>
      </w:r>
    </w:p>
    <w:p>
      <w:pPr>
        <w:ind w:firstLine="480"/>
        <w:jc w:val="left"/>
      </w:pPr>
      <w:r>
        <w:rPr>
          <w:sz w:val="24"/>
        </w:rPr>
        <w:t>甲方按每半年度付费，于每半年度第一个月内支付该半年度的场地租赁费。乙方需开具正式税务发票原件交甲方，甲方在收到乙方提供等额合法有效增值税普通发票及申请付款资料后的</w:t>
      </w:r>
      <w:r>
        <w:rPr>
          <w:sz w:val="24"/>
        </w:rPr>
        <w:t>30</w:t>
      </w:r>
      <w:r>
        <w:rPr>
          <w:sz w:val="24"/>
        </w:rPr>
        <w:t>日内办理支付手续；甲方向政府财政部门提出支付申请，即视为甲方已经完成付款义务，政府财政部门审核的时间不包含在甲方的付款期限内，且付款金额以政府财政部门最终审核的金额为准。若乙方未能按时提供合法合规发票给甲方，甲方有权延迟付款直至收到乙方提供的正规等额发票并无需承担违约责任。</w:t>
      </w:r>
    </w:p>
    <w:p>
      <w:pPr>
        <w:ind w:firstLine="480"/>
        <w:jc w:val="left"/>
      </w:pPr>
      <w:r>
        <w:rPr>
          <w:sz w:val="24"/>
        </w:rPr>
        <w:t>4</w:t>
      </w:r>
      <w:r>
        <w:rPr>
          <w:sz w:val="24"/>
        </w:rPr>
        <w:t>、合同内容：</w:t>
      </w:r>
    </w:p>
    <w:p>
      <w:pPr>
        <w:ind w:firstLine="480"/>
        <w:jc w:val="left"/>
      </w:pPr>
      <w:r>
        <w:rPr>
          <w:sz w:val="24"/>
        </w:rPr>
        <w:t>详见《招标文件》中的用户需求书。</w:t>
      </w:r>
    </w:p>
    <w:p>
      <w:pPr>
        <w:ind w:firstLine="482"/>
        <w:jc w:val="both"/>
      </w:pPr>
      <w:r>
        <w:rPr>
          <w:b/>
          <w:sz w:val="24"/>
        </w:rPr>
        <w:t>第三条</w:t>
      </w:r>
      <w:r>
        <w:rPr>
          <w:b/>
          <w:sz w:val="24"/>
        </w:rPr>
        <w:t xml:space="preserve">  </w:t>
      </w:r>
      <w:r>
        <w:rPr>
          <w:b/>
          <w:sz w:val="24"/>
        </w:rPr>
        <w:t>乙方本合同指定</w:t>
      </w:r>
      <w:r>
        <w:rPr>
          <w:b/>
          <w:sz w:val="24"/>
        </w:rPr>
        <w:t>收款</w:t>
      </w:r>
      <w:r>
        <w:rPr>
          <w:b/>
          <w:sz w:val="24"/>
        </w:rPr>
        <w:t>银行账户：</w:t>
      </w:r>
    </w:p>
    <w:p>
      <w:pPr>
        <w:ind w:firstLine="1440"/>
        <w:jc w:val="both"/>
      </w:pPr>
      <w:r>
        <w:rPr>
          <w:sz w:val="24"/>
        </w:rPr>
        <w:t>开户银行：</w:t>
      </w:r>
    </w:p>
    <w:p>
      <w:pPr>
        <w:ind w:firstLine="1440"/>
        <w:jc w:val="both"/>
      </w:pPr>
      <w:r>
        <w:rPr>
          <w:sz w:val="24"/>
        </w:rPr>
        <w:t>账号名称：</w:t>
      </w:r>
    </w:p>
    <w:p>
      <w:pPr>
        <w:ind w:firstLine="1440"/>
        <w:jc w:val="both"/>
      </w:pPr>
      <w:r>
        <w:rPr>
          <w:sz w:val="24"/>
        </w:rPr>
        <w:t>银行账号：</w:t>
      </w:r>
      <w:r>
        <w:rPr>
          <w:sz w:val="24"/>
        </w:rPr>
        <w:t xml:space="preserve"> </w:t>
      </w:r>
    </w:p>
    <w:p>
      <w:pPr>
        <w:ind w:firstLine="482"/>
        <w:jc w:val="both"/>
      </w:pPr>
      <w:r>
        <w:rPr>
          <w:b/>
          <w:sz w:val="24"/>
        </w:rPr>
        <w:t>第四条</w:t>
      </w:r>
      <w:r>
        <w:rPr>
          <w:b/>
          <w:sz w:val="24"/>
        </w:rPr>
        <w:t xml:space="preserve">  </w:t>
      </w:r>
      <w:r>
        <w:rPr>
          <w:b/>
          <w:sz w:val="24"/>
        </w:rPr>
        <w:t>承租物业交付</w:t>
      </w:r>
    </w:p>
    <w:p>
      <w:pPr>
        <w:ind w:firstLine="480"/>
        <w:jc w:val="both"/>
      </w:pPr>
      <w:r>
        <w:rPr>
          <w:sz w:val="24"/>
        </w:rPr>
        <w:t>乙</w:t>
      </w:r>
      <w:r>
        <w:rPr>
          <w:sz w:val="24"/>
        </w:rPr>
        <w:t>方</w:t>
      </w:r>
      <w:r>
        <w:rPr>
          <w:sz w:val="24"/>
        </w:rPr>
        <w:t>保证</w:t>
      </w:r>
      <w:r>
        <w:rPr>
          <w:sz w:val="24"/>
        </w:rPr>
        <w:t>中标通知书出具后一个月内</w:t>
      </w:r>
      <w:r>
        <w:rPr>
          <w:sz w:val="24"/>
        </w:rPr>
        <w:t>将承租物业交付甲方。双方经房屋交验</w:t>
      </w:r>
      <w:r>
        <w:rPr>
          <w:sz w:val="24"/>
        </w:rPr>
        <w:t>，在</w:t>
      </w:r>
      <w:r>
        <w:rPr>
          <w:sz w:val="24"/>
        </w:rPr>
        <w:t>《房屋交接及设备清单》</w:t>
      </w:r>
      <w:r>
        <w:rPr>
          <w:sz w:val="24"/>
        </w:rPr>
        <w:t>中签字确认并移交承租物业钥匙后视为交付完成</w:t>
      </w:r>
      <w:r>
        <w:rPr>
          <w:sz w:val="24"/>
        </w:rPr>
        <w:t>。</w:t>
      </w:r>
      <w:r>
        <w:rPr>
          <w:sz w:val="24"/>
        </w:rPr>
        <w:t>甲方所交租金已含乙方为甲方提供的</w:t>
      </w:r>
      <w:r>
        <w:rPr>
          <w:sz w:val="24"/>
        </w:rPr>
        <w:t>公共区域增值服务和室内区域增值服务等费用及</w:t>
      </w:r>
      <w:r>
        <w:rPr>
          <w:sz w:val="24"/>
        </w:rPr>
        <w:t>税费等</w:t>
      </w:r>
      <w:r>
        <w:rPr>
          <w:sz w:val="21"/>
        </w:rPr>
        <w:t>。</w:t>
      </w:r>
    </w:p>
    <w:p>
      <w:pPr>
        <w:ind w:firstLine="482"/>
        <w:jc w:val="both"/>
      </w:pPr>
      <w:r>
        <w:rPr>
          <w:b/>
          <w:sz w:val="24"/>
        </w:rPr>
        <w:t>第五条</w:t>
      </w:r>
      <w:r>
        <w:rPr>
          <w:b/>
          <w:sz w:val="24"/>
        </w:rPr>
        <w:t xml:space="preserve">  </w:t>
      </w:r>
      <w:r>
        <w:rPr>
          <w:b/>
          <w:sz w:val="24"/>
        </w:rPr>
        <w:t>双方权利与义务</w:t>
      </w:r>
    </w:p>
    <w:p>
      <w:pPr>
        <w:ind w:firstLine="480"/>
        <w:jc w:val="both"/>
      </w:pPr>
      <w:r>
        <w:rPr>
          <w:sz w:val="24"/>
        </w:rPr>
        <w:t>1</w:t>
      </w:r>
      <w:r>
        <w:rPr>
          <w:sz w:val="24"/>
        </w:rPr>
        <w:t>、甲方应按照合同约定及时、足额支付租金及其他有关费用。</w:t>
      </w:r>
    </w:p>
    <w:p>
      <w:pPr>
        <w:ind w:firstLine="475"/>
        <w:jc w:val="both"/>
      </w:pPr>
      <w:r>
        <w:rPr>
          <w:sz w:val="24"/>
        </w:rPr>
        <w:t>2</w:t>
      </w:r>
      <w:r>
        <w:rPr>
          <w:sz w:val="24"/>
        </w:rPr>
        <w:t>、甲方</w:t>
      </w:r>
      <w:r>
        <w:rPr>
          <w:sz w:val="24"/>
        </w:rPr>
        <w:t>可</w:t>
      </w:r>
      <w:r>
        <w:rPr>
          <w:sz w:val="24"/>
        </w:rPr>
        <w:t>委托乙方对房屋使用情况进行管理并及时汇报有关情况。</w:t>
      </w:r>
    </w:p>
    <w:p>
      <w:pPr>
        <w:ind w:firstLine="475"/>
        <w:jc w:val="both"/>
      </w:pPr>
      <w:r>
        <w:rPr>
          <w:sz w:val="24"/>
        </w:rPr>
        <w:t>3</w:t>
      </w:r>
      <w:r>
        <w:rPr>
          <w:sz w:val="24"/>
        </w:rPr>
        <w:t>、</w:t>
      </w:r>
      <w:r>
        <w:rPr>
          <w:sz w:val="24"/>
        </w:rPr>
        <w:t>未经乙方书面同意，</w:t>
      </w:r>
      <w:r>
        <w:rPr>
          <w:sz w:val="24"/>
        </w:rPr>
        <w:t>甲方不得改变物业的基本用途及使用性质，不得将该承租物业的全部或部分直接、间接或变相转租、分租、转让、与他人互换或舍弃交予他人。</w:t>
      </w:r>
      <w:r>
        <w:rPr>
          <w:sz w:val="24"/>
        </w:rPr>
        <w:t>经甲方书面同意，乙方将物业交予第三方使用，乙方应与第三方就本合同的履行对甲方承担连带责任。</w:t>
      </w:r>
    </w:p>
    <w:p>
      <w:pPr>
        <w:ind w:firstLine="482"/>
        <w:jc w:val="both"/>
      </w:pPr>
      <w:r>
        <w:rPr>
          <w:sz w:val="24"/>
        </w:rPr>
        <w:t>4</w:t>
      </w:r>
      <w:r>
        <w:rPr>
          <w:sz w:val="24"/>
        </w:rPr>
        <w:t>、</w:t>
      </w:r>
      <w:r>
        <w:rPr>
          <w:sz w:val="24"/>
        </w:rPr>
        <w:t>乙方应保证对《招标文件》中的用户需求书等响应事项依约履行。</w:t>
      </w:r>
    </w:p>
    <w:p>
      <w:pPr>
        <w:ind w:firstLine="482"/>
        <w:jc w:val="both"/>
      </w:pPr>
      <w:r>
        <w:rPr>
          <w:sz w:val="24"/>
        </w:rPr>
        <w:t>5</w:t>
      </w:r>
      <w:r>
        <w:rPr>
          <w:sz w:val="24"/>
        </w:rPr>
        <w:t>、</w:t>
      </w:r>
      <w:r>
        <w:rPr>
          <w:sz w:val="24"/>
        </w:rPr>
        <w:t>乙方应对承租物业进行维护与保养，因自然属性或合理使用而导致损耗的，乙方应及时修复。</w:t>
      </w:r>
    </w:p>
    <w:p>
      <w:pPr>
        <w:ind w:firstLine="475"/>
        <w:jc w:val="both"/>
      </w:pPr>
      <w:r>
        <w:rPr>
          <w:sz w:val="24"/>
        </w:rPr>
        <w:t>6</w:t>
      </w:r>
      <w:r>
        <w:rPr>
          <w:sz w:val="24"/>
        </w:rPr>
        <w:t>、乙方应确保房屋在合同期内有合法</w:t>
      </w:r>
      <w:r>
        <w:rPr>
          <w:sz w:val="24"/>
        </w:rPr>
        <w:t>产权</w:t>
      </w:r>
      <w:r>
        <w:rPr>
          <w:sz w:val="24"/>
        </w:rPr>
        <w:t>/</w:t>
      </w:r>
      <w:r>
        <w:rPr>
          <w:sz w:val="24"/>
        </w:rPr>
        <w:t>使用权，因权利瑕疵导致甲方人员无法入住或引发纠纷，甲方有权解除合同并追</w:t>
      </w:r>
      <w:r>
        <w:rPr>
          <w:sz w:val="24"/>
        </w:rPr>
        <w:t>究</w:t>
      </w:r>
      <w:r>
        <w:rPr>
          <w:sz w:val="24"/>
        </w:rPr>
        <w:t>由此引发的甲方</w:t>
      </w:r>
      <w:r>
        <w:rPr>
          <w:sz w:val="24"/>
        </w:rPr>
        <w:t>一切</w:t>
      </w:r>
      <w:r>
        <w:rPr>
          <w:sz w:val="24"/>
        </w:rPr>
        <w:t>损失。</w:t>
      </w:r>
    </w:p>
    <w:p>
      <w:pPr>
        <w:ind w:firstLine="475"/>
        <w:jc w:val="both"/>
      </w:pPr>
      <w:r>
        <w:rPr>
          <w:sz w:val="24"/>
        </w:rPr>
        <w:t>7</w:t>
      </w:r>
      <w:r>
        <w:rPr>
          <w:sz w:val="24"/>
        </w:rPr>
        <w:t>、</w:t>
      </w:r>
      <w:r>
        <w:rPr>
          <w:sz w:val="24"/>
        </w:rPr>
        <w:t>乙方应为承租物业提供相应的物业管理服务及室内区域增值服务、按招标文件的规定提供停车服务（不少于</w:t>
      </w:r>
      <w:r>
        <w:rPr>
          <w:sz w:val="24"/>
          <w:u w:val="single"/>
        </w:rPr>
        <w:t xml:space="preserve">    </w:t>
      </w:r>
      <w:r>
        <w:rPr>
          <w:sz w:val="24"/>
        </w:rPr>
        <w:t>个停车位），实际使用方需支付车位</w:t>
      </w:r>
      <w:r>
        <w:rPr>
          <w:sz w:val="24"/>
        </w:rPr>
        <w:t>租金费用及</w:t>
      </w:r>
      <w:r>
        <w:rPr>
          <w:sz w:val="24"/>
        </w:rPr>
        <w:t>物业管理费用</w:t>
      </w:r>
      <w:r>
        <w:rPr>
          <w:sz w:val="24"/>
        </w:rPr>
        <w:t>。</w:t>
      </w:r>
    </w:p>
    <w:p>
      <w:pPr>
        <w:ind w:firstLine="475"/>
        <w:jc w:val="both"/>
      </w:pPr>
      <w:r>
        <w:rPr>
          <w:sz w:val="24"/>
        </w:rPr>
        <w:t>8</w:t>
      </w:r>
      <w:r>
        <w:rPr>
          <w:sz w:val="24"/>
        </w:rPr>
        <w:t>、</w:t>
      </w:r>
      <w:r>
        <w:rPr>
          <w:sz w:val="24"/>
        </w:rPr>
        <w:t>房屋交付前的物业管理费、水电费等相关费用由乙方承担。房屋交付后，停车费、装修复原费、水电费、水电费周转金等相关费用，乙方或乙方指定的物业管理方直接向承租物业实际使用方收取。</w:t>
      </w:r>
    </w:p>
    <w:p>
      <w:pPr>
        <w:ind w:firstLine="475"/>
        <w:jc w:val="both"/>
      </w:pPr>
      <w:r>
        <w:rPr>
          <w:sz w:val="24"/>
        </w:rPr>
        <w:t>9</w:t>
      </w:r>
      <w:r>
        <w:rPr>
          <w:sz w:val="24"/>
        </w:rPr>
        <w:t>、若乙方交付前承租物业存在抵押的情况，乙方应将抵押权人、抵押数额、抵押时间等信息详细向甲方披露，并保证在租赁期间不会因抵押权人行使抵押权而影响甲方对承租物业的正常使用。</w:t>
      </w:r>
    </w:p>
    <w:p>
      <w:pPr>
        <w:ind w:firstLine="475"/>
        <w:jc w:val="both"/>
      </w:pPr>
      <w:r>
        <w:rPr>
          <w:sz w:val="24"/>
        </w:rPr>
        <w:t>10</w:t>
      </w:r>
      <w:r>
        <w:rPr>
          <w:sz w:val="24"/>
        </w:rPr>
        <w:t>、租赁期间，乙方不得转让承租物业的合法产权</w:t>
      </w:r>
      <w:r>
        <w:rPr>
          <w:sz w:val="24"/>
        </w:rPr>
        <w:t>/</w:t>
      </w:r>
      <w:r>
        <w:rPr>
          <w:sz w:val="24"/>
        </w:rPr>
        <w:t>使用权。</w:t>
      </w:r>
    </w:p>
    <w:p>
      <w:pPr>
        <w:ind w:firstLine="475"/>
        <w:jc w:val="both"/>
      </w:pPr>
      <w:r>
        <w:rPr>
          <w:sz w:val="24"/>
        </w:rPr>
        <w:t>11</w:t>
      </w:r>
      <w:r>
        <w:rPr>
          <w:sz w:val="24"/>
        </w:rPr>
        <w:t>、乙方保证承租物业符合甲方办公用途，且承租物业已通过消防验收。</w:t>
      </w:r>
    </w:p>
    <w:p>
      <w:pPr>
        <w:ind w:firstLine="475"/>
        <w:jc w:val="both"/>
      </w:pPr>
      <w:r>
        <w:rPr>
          <w:sz w:val="24"/>
        </w:rPr>
        <w:t>12</w:t>
      </w:r>
      <w:r>
        <w:rPr>
          <w:sz w:val="24"/>
        </w:rPr>
        <w:t>、乙方保证按照甲方要求的时间和装修标准交付物业。</w:t>
      </w:r>
    </w:p>
    <w:p>
      <w:pPr>
        <w:ind w:firstLine="475"/>
        <w:jc w:val="both"/>
      </w:pPr>
      <w:r>
        <w:rPr>
          <w:sz w:val="24"/>
        </w:rPr>
        <w:t>13</w:t>
      </w:r>
      <w:r>
        <w:rPr>
          <w:sz w:val="24"/>
        </w:rPr>
        <w:t>、乙方应按照政府消防部门的规定以每</w:t>
      </w:r>
      <w:r>
        <w:rPr>
          <w:sz w:val="24"/>
        </w:rPr>
        <w:t>20</w:t>
      </w:r>
      <w:r>
        <w:rPr>
          <w:sz w:val="24"/>
        </w:rPr>
        <w:t>平方米两个</w:t>
      </w:r>
      <w:r>
        <w:rPr>
          <w:sz w:val="24"/>
        </w:rPr>
        <w:t>3</w:t>
      </w:r>
      <w:r>
        <w:rPr>
          <w:sz w:val="24"/>
        </w:rPr>
        <w:t>公斤灭火器和防毒面具的标准在公共区域为甲方免费配备上述消防器材（以政府消防部门最新配备要求为准）。</w:t>
      </w:r>
    </w:p>
    <w:p>
      <w:pPr>
        <w:ind w:firstLine="475"/>
        <w:jc w:val="both"/>
      </w:pPr>
      <w:r>
        <w:rPr>
          <w:sz w:val="24"/>
        </w:rPr>
        <w:t>1</w:t>
      </w:r>
      <w:r>
        <w:rPr>
          <w:sz w:val="24"/>
        </w:rPr>
        <w:t>4</w:t>
      </w:r>
      <w:r>
        <w:rPr>
          <w:sz w:val="24"/>
        </w:rPr>
        <w:t>、</w:t>
      </w:r>
      <w:r>
        <w:rPr>
          <w:sz w:val="24"/>
        </w:rPr>
        <w:t>如乙方按甲方所要求提供的基础设备、设施</w:t>
      </w:r>
      <w:r>
        <w:rPr>
          <w:sz w:val="24"/>
        </w:rPr>
        <w:t>不能满足甲方经营需要的，甲方需进行水电扩容、下水道、环保设施、环境改造、设置户外广告牌、增设构筑物等项目建设，以及甲方自身经营需要增加生产设备、供水供电、配电、消防、环保等设施，经乙方书面同意后，由甲方自行出资解决，乙方需提供专业协助。扩容及新增装修作业需进行环保、卫生、消防等验收的，甲方应自行按有关法律法规及政策规定的程序和要求办理，并取得许可或验收合格后承租物业方可投入使用，否则由此产生的行政处罚，由甲方自行承担。若因此造成乙方损失，甲方应全额赔偿乙方损失。</w:t>
      </w:r>
    </w:p>
    <w:p>
      <w:pPr>
        <w:ind w:firstLine="475"/>
        <w:jc w:val="both"/>
      </w:pPr>
      <w:r>
        <w:rPr>
          <w:sz w:val="24"/>
        </w:rPr>
        <w:t>15</w:t>
      </w:r>
      <w:r>
        <w:rPr>
          <w:sz w:val="24"/>
        </w:rPr>
        <w:t>、如甲方需安装灯具、铺设网线、安装办公设备等基础设施，乙方可根据实际</w:t>
      </w:r>
      <w:r>
        <w:rPr>
          <w:sz w:val="24"/>
        </w:rPr>
        <w:t>情况</w:t>
      </w:r>
      <w:r>
        <w:rPr>
          <w:sz w:val="24"/>
        </w:rPr>
        <w:t>提供部分</w:t>
      </w:r>
      <w:r>
        <w:rPr>
          <w:sz w:val="24"/>
        </w:rPr>
        <w:t>免费</w:t>
      </w:r>
      <w:r>
        <w:rPr>
          <w:sz w:val="24"/>
        </w:rPr>
        <w:t>安装服务或安排专业技术人员予以协助。</w:t>
      </w:r>
    </w:p>
    <w:p>
      <w:pPr>
        <w:ind w:firstLine="477"/>
        <w:jc w:val="both"/>
      </w:pPr>
      <w:r>
        <w:rPr>
          <w:b/>
          <w:sz w:val="24"/>
        </w:rPr>
        <w:t>第六条</w:t>
      </w:r>
      <w:r>
        <w:rPr>
          <w:b/>
          <w:sz w:val="24"/>
        </w:rPr>
        <w:t xml:space="preserve">  </w:t>
      </w:r>
      <w:r>
        <w:rPr>
          <w:b/>
          <w:sz w:val="24"/>
        </w:rPr>
        <w:t>违约处理</w:t>
      </w:r>
    </w:p>
    <w:p>
      <w:pPr>
        <w:ind w:firstLine="480"/>
        <w:jc w:val="both"/>
      </w:pPr>
      <w:r>
        <w:rPr>
          <w:sz w:val="24"/>
        </w:rPr>
        <w:t>1</w:t>
      </w:r>
      <w:r>
        <w:rPr>
          <w:sz w:val="24"/>
        </w:rPr>
        <w:t>、</w:t>
      </w:r>
      <w:r>
        <w:rPr>
          <w:sz w:val="24"/>
        </w:rPr>
        <w:t>任何一方违反本合同均属违约，违约方须承担违约责任，赔偿守约方由此所受到的经济损失。同时，守约方为追究违约方责任而支出的诉讼费、保全费、律师费、差旅费、公证费、调查费、公告费、评估鉴定费、执行费等，由违约方承担</w:t>
      </w:r>
      <w:r>
        <w:rPr>
          <w:sz w:val="24"/>
        </w:rPr>
        <w:t>；</w:t>
      </w:r>
    </w:p>
    <w:p>
      <w:pPr>
        <w:ind w:firstLine="480"/>
        <w:jc w:val="both"/>
      </w:pPr>
      <w:r>
        <w:rPr>
          <w:sz w:val="24"/>
        </w:rPr>
        <w:t>2</w:t>
      </w:r>
      <w:r>
        <w:rPr>
          <w:sz w:val="24"/>
        </w:rPr>
        <w:t>、若乙方在履约过程中未能依照《招标文件》的用户需求书等具体要求为甲方提供房屋及物业服务，经甲方</w:t>
      </w:r>
      <w:r>
        <w:rPr>
          <w:sz w:val="24"/>
        </w:rPr>
        <w:t>3</w:t>
      </w:r>
      <w:r>
        <w:rPr>
          <w:sz w:val="24"/>
        </w:rPr>
        <w:t>次书面督促后仍不进行整改或整改效果未能达到甲方要求，甲方有权要求乙方按照本合同总金额的</w:t>
      </w:r>
      <w:r>
        <w:rPr>
          <w:sz w:val="24"/>
        </w:rPr>
        <w:t>20%</w:t>
      </w:r>
      <w:r>
        <w:rPr>
          <w:sz w:val="24"/>
        </w:rPr>
        <w:t>向甲方支付违约金，并可视情况行使单方解除权；</w:t>
      </w:r>
    </w:p>
    <w:p>
      <w:pPr>
        <w:ind w:firstLine="480"/>
        <w:jc w:val="both"/>
      </w:pPr>
      <w:r>
        <w:rPr>
          <w:sz w:val="24"/>
        </w:rPr>
        <w:t>3</w:t>
      </w:r>
      <w:r>
        <w:rPr>
          <w:sz w:val="24"/>
        </w:rPr>
        <w:t>、若乙方未能按要求及时提供物业管理服务，经甲方催促后仍不提供相应服务导致甲方正常办公事项乃至对甲方造成负面影响，由乙方负责排除影响</w:t>
      </w:r>
      <w:r>
        <w:rPr>
          <w:sz w:val="24"/>
        </w:rPr>
        <w:t>；</w:t>
      </w:r>
    </w:p>
    <w:p>
      <w:pPr>
        <w:ind w:firstLine="480"/>
        <w:jc w:val="both"/>
      </w:pPr>
      <w:r>
        <w:rPr>
          <w:sz w:val="24"/>
        </w:rPr>
        <w:t>4</w:t>
      </w:r>
      <w:r>
        <w:rPr>
          <w:sz w:val="24"/>
        </w:rPr>
        <w:t>、</w:t>
      </w:r>
      <w:r>
        <w:rPr>
          <w:sz w:val="24"/>
        </w:rPr>
        <w:t>若甲方对所使用物业</w:t>
      </w:r>
      <w:r>
        <w:rPr>
          <w:sz w:val="24"/>
        </w:rPr>
        <w:t>因自然属性或合理使用而导致损耗</w:t>
      </w:r>
      <w:r>
        <w:rPr>
          <w:sz w:val="24"/>
        </w:rPr>
        <w:t>部分进行报修</w:t>
      </w:r>
      <w:r>
        <w:rPr>
          <w:sz w:val="24"/>
        </w:rPr>
        <w:t>，</w:t>
      </w:r>
      <w:r>
        <w:rPr>
          <w:sz w:val="24"/>
        </w:rPr>
        <w:t>乙方未及时响应，经甲方催促后</w:t>
      </w:r>
      <w:r>
        <w:rPr>
          <w:sz w:val="24"/>
        </w:rPr>
        <w:t>7</w:t>
      </w:r>
      <w:r>
        <w:rPr>
          <w:sz w:val="24"/>
        </w:rPr>
        <w:t>个工作日内，乙方仍未进行修整，且对甲方的办公等正常事务造成影响的，甲方有权自行委托第三方维修，乙方应对所造成甲方直接经济损失承担赔偿责任。若乙方累计出现迟延或者拒绝履行修复义务超过</w:t>
      </w:r>
      <w:r>
        <w:rPr>
          <w:sz w:val="24"/>
        </w:rPr>
        <w:t>3</w:t>
      </w:r>
      <w:r>
        <w:rPr>
          <w:sz w:val="24"/>
        </w:rPr>
        <w:t>次（含</w:t>
      </w:r>
      <w:r>
        <w:rPr>
          <w:sz w:val="24"/>
        </w:rPr>
        <w:t>3</w:t>
      </w:r>
      <w:r>
        <w:rPr>
          <w:sz w:val="24"/>
        </w:rPr>
        <w:t>次），甲方有权要求乙方支付本合同总金额</w:t>
      </w:r>
      <w:r>
        <w:rPr>
          <w:sz w:val="24"/>
        </w:rPr>
        <w:t>0.001%</w:t>
      </w:r>
      <w:r>
        <w:rPr>
          <w:sz w:val="24"/>
        </w:rPr>
        <w:t>的违约金。</w:t>
      </w:r>
    </w:p>
    <w:p>
      <w:pPr>
        <w:ind w:firstLine="480"/>
        <w:jc w:val="both"/>
      </w:pPr>
      <w:r>
        <w:rPr>
          <w:sz w:val="24"/>
        </w:rPr>
        <w:t>5</w:t>
      </w:r>
      <w:r>
        <w:rPr>
          <w:sz w:val="24"/>
        </w:rPr>
        <w:t>、因第三人对承租物业行使抵押权，乙方必须及时解决或者无条件按照招标文件、投标文件、本合同的要求向甲方提供同类型的承租物业并保证不影响甲方的正常使用，还需承担甲方搬迁办公室所产生的费用等损失。若第三人对承租物业行使抵押权影响甲方的正常使用或者对甲方造成负面影响，由乙方负责排除影响。</w:t>
      </w:r>
    </w:p>
    <w:p>
      <w:pPr>
        <w:ind w:firstLine="480"/>
        <w:jc w:val="both"/>
      </w:pPr>
      <w:r>
        <w:rPr>
          <w:sz w:val="24"/>
        </w:rPr>
        <w:t>6</w:t>
      </w:r>
      <w:r>
        <w:rPr>
          <w:sz w:val="24"/>
        </w:rPr>
        <w:t>、甲方应按本合同约定的期限及方式向乙方支付租金、物业费等费用，如甲方无正当理由逾期，每逾期一日按应付金额的</w:t>
      </w:r>
      <w:r>
        <w:rPr>
          <w:sz w:val="24"/>
        </w:rPr>
        <w:t>1%</w:t>
      </w:r>
      <w:r>
        <w:rPr>
          <w:sz w:val="24"/>
        </w:rPr>
        <w:t>向甲方支付违约金，逾期超过</w:t>
      </w:r>
      <w:r>
        <w:rPr>
          <w:sz w:val="24"/>
        </w:rPr>
        <w:t>15</w:t>
      </w:r>
      <w:r>
        <w:rPr>
          <w:sz w:val="24"/>
        </w:rPr>
        <w:t>日未支付的，乙方有权单方解除合同。</w:t>
      </w:r>
    </w:p>
    <w:p>
      <w:pPr>
        <w:ind w:firstLine="480"/>
        <w:jc w:val="both"/>
      </w:pPr>
      <w:r>
        <w:rPr>
          <w:sz w:val="24"/>
        </w:rPr>
        <w:t>7</w:t>
      </w:r>
      <w:r>
        <w:rPr>
          <w:sz w:val="24"/>
        </w:rPr>
        <w:t>、不论任何原因导致本合同解除的，甲方均应在合同解除之日起    日内搬离，将租赁房屋恢复原状；否则，甲方应按原租金价格向乙方支付占用费。超过 日未搬离的，乙方有权处置甲方遗留在乙方处的所有物品而无需承担任何责任。</w:t>
      </w:r>
    </w:p>
    <w:p>
      <w:pPr>
        <w:ind w:firstLine="472"/>
        <w:jc w:val="both"/>
      </w:pPr>
      <w:r>
        <w:rPr>
          <w:b/>
          <w:sz w:val="24"/>
        </w:rPr>
        <w:t>第七条</w:t>
      </w:r>
      <w:r>
        <w:rPr>
          <w:b/>
          <w:sz w:val="24"/>
        </w:rPr>
        <w:t>协商变更或解除</w:t>
      </w:r>
    </w:p>
    <w:p>
      <w:pPr>
        <w:ind w:firstLine="470"/>
        <w:jc w:val="both"/>
      </w:pPr>
      <w:r>
        <w:rPr>
          <w:sz w:val="24"/>
        </w:rPr>
        <w:t>1</w:t>
      </w:r>
      <w:r>
        <w:rPr>
          <w:sz w:val="24"/>
        </w:rPr>
        <w:t>、</w:t>
      </w:r>
      <w:r>
        <w:rPr>
          <w:sz w:val="24"/>
        </w:rPr>
        <w:t>经甲乙双方协商一致，可签订补充协议，补充协议作为本合同不可分割的一部分，具备同等法律效力。</w:t>
      </w:r>
    </w:p>
    <w:p>
      <w:pPr>
        <w:ind w:firstLine="470"/>
        <w:jc w:val="both"/>
      </w:pPr>
      <w:r>
        <w:rPr>
          <w:sz w:val="24"/>
        </w:rPr>
        <w:t>2</w:t>
      </w:r>
      <w:r>
        <w:rPr>
          <w:sz w:val="24"/>
        </w:rPr>
        <w:t>、经甲乙双方协商一致，可以解除本合同。</w:t>
      </w:r>
    </w:p>
    <w:p>
      <w:pPr>
        <w:ind w:firstLine="470"/>
        <w:jc w:val="both"/>
      </w:pPr>
      <w:r>
        <w:rPr>
          <w:sz w:val="24"/>
        </w:rPr>
        <w:t>3</w:t>
      </w:r>
      <w:r>
        <w:rPr>
          <w:sz w:val="24"/>
        </w:rPr>
        <w:t>、有下列情况之一的，任何一方可及时提出变更或解除合同，且无须向对方承担违约责任：</w:t>
      </w:r>
    </w:p>
    <w:p>
      <w:pPr>
        <w:ind w:firstLine="470"/>
        <w:jc w:val="both"/>
      </w:pPr>
      <w:r>
        <w:rPr>
          <w:sz w:val="24"/>
        </w:rPr>
        <w:t>（</w:t>
      </w:r>
      <w:r>
        <w:rPr>
          <w:sz w:val="24"/>
        </w:rPr>
        <w:t>1</w:t>
      </w:r>
      <w:r>
        <w:rPr>
          <w:sz w:val="24"/>
        </w:rPr>
        <w:t>）因法律、法规、地方政策调整或不可抗力致使租赁合同不能继续履行的；</w:t>
      </w:r>
    </w:p>
    <w:p>
      <w:pPr>
        <w:ind w:firstLine="470"/>
        <w:jc w:val="both"/>
      </w:pPr>
      <w:r>
        <w:rPr>
          <w:sz w:val="24"/>
        </w:rPr>
        <w:t>（</w:t>
      </w:r>
      <w:r>
        <w:rPr>
          <w:sz w:val="24"/>
        </w:rPr>
        <w:t>2</w:t>
      </w:r>
      <w:r>
        <w:rPr>
          <w:sz w:val="24"/>
        </w:rPr>
        <w:t>）因城市建设规划或城市更新改造需要征收、征用的；</w:t>
      </w:r>
    </w:p>
    <w:p>
      <w:pPr>
        <w:ind w:firstLine="470"/>
        <w:jc w:val="both"/>
      </w:pPr>
      <w:r>
        <w:rPr>
          <w:sz w:val="24"/>
        </w:rPr>
        <w:t>（</w:t>
      </w:r>
      <w:r>
        <w:rPr>
          <w:sz w:val="24"/>
        </w:rPr>
        <w:t>3</w:t>
      </w:r>
      <w:r>
        <w:rPr>
          <w:sz w:val="24"/>
        </w:rPr>
        <w:t>）相关事项已经合同约定或经双方协商一致但未能履行的；</w:t>
      </w:r>
    </w:p>
    <w:p>
      <w:pPr>
        <w:ind w:firstLine="470"/>
        <w:jc w:val="both"/>
      </w:pPr>
      <w:r>
        <w:rPr>
          <w:sz w:val="24"/>
        </w:rPr>
        <w:t>（</w:t>
      </w:r>
      <w:r>
        <w:rPr>
          <w:sz w:val="24"/>
        </w:rPr>
        <w:t>4</w:t>
      </w:r>
      <w:r>
        <w:rPr>
          <w:sz w:val="24"/>
        </w:rPr>
        <w:t>）</w:t>
      </w:r>
      <w:r>
        <w:rPr>
          <w:sz w:val="24"/>
        </w:rPr>
        <w:t>发生不可抗力一方应在不可抗力发生之日起</w:t>
      </w:r>
      <w:r>
        <w:rPr>
          <w:sz w:val="24"/>
        </w:rPr>
        <w:t>5</w:t>
      </w:r>
      <w:r>
        <w:rPr>
          <w:sz w:val="24"/>
        </w:rPr>
        <w:t>个工作日内书面通知另一方，并提供相关部门的有效证明文件，证明不可抗力事件的存在，</w:t>
      </w:r>
      <w:r>
        <w:rPr>
          <w:sz w:val="24"/>
        </w:rPr>
        <w:t>不可抗力事件发生后，甲方和乙方应当积极寻求以合理的方式履行本合同。</w:t>
      </w:r>
    </w:p>
    <w:p>
      <w:pPr>
        <w:ind w:firstLine="470"/>
        <w:jc w:val="both"/>
      </w:pPr>
      <w:r>
        <w:rPr>
          <w:sz w:val="24"/>
        </w:rPr>
        <w:t>因</w:t>
      </w:r>
      <w:r>
        <w:rPr>
          <w:sz w:val="24"/>
        </w:rPr>
        <w:t>本款第（</w:t>
      </w:r>
      <w:r>
        <w:rPr>
          <w:sz w:val="24"/>
        </w:rPr>
        <w:t>2</w:t>
      </w:r>
      <w:r>
        <w:rPr>
          <w:sz w:val="24"/>
        </w:rPr>
        <w:t>）</w:t>
      </w:r>
      <w:r>
        <w:rPr>
          <w:sz w:val="24"/>
        </w:rPr>
        <w:t>项的情况而</w:t>
      </w:r>
      <w:r>
        <w:rPr>
          <w:sz w:val="24"/>
        </w:rPr>
        <w:t>产生的补偿及赔偿</w:t>
      </w:r>
      <w:r>
        <w:rPr>
          <w:sz w:val="24"/>
        </w:rPr>
        <w:t>均</w:t>
      </w:r>
      <w:r>
        <w:rPr>
          <w:sz w:val="24"/>
        </w:rPr>
        <w:t>归</w:t>
      </w:r>
      <w:r>
        <w:rPr>
          <w:sz w:val="24"/>
        </w:rPr>
        <w:t>乙方</w:t>
      </w:r>
      <w:r>
        <w:rPr>
          <w:sz w:val="24"/>
        </w:rPr>
        <w:t>所有</w:t>
      </w:r>
      <w:r>
        <w:rPr>
          <w:sz w:val="24"/>
        </w:rPr>
        <w:t>。</w:t>
      </w:r>
    </w:p>
    <w:p>
      <w:pPr>
        <w:ind w:firstLine="472"/>
        <w:jc w:val="both"/>
      </w:pPr>
      <w:r>
        <w:rPr>
          <w:b/>
          <w:sz w:val="24"/>
        </w:rPr>
        <w:t>第八条</w:t>
      </w:r>
      <w:r>
        <w:rPr>
          <w:b/>
          <w:sz w:val="24"/>
        </w:rPr>
        <w:t xml:space="preserve"> </w:t>
      </w:r>
      <w:r>
        <w:rPr>
          <w:b/>
          <w:sz w:val="24"/>
        </w:rPr>
        <w:t>其他事项</w:t>
      </w:r>
    </w:p>
    <w:p>
      <w:pPr>
        <w:ind w:firstLine="480"/>
        <w:jc w:val="both"/>
      </w:pPr>
      <w:r>
        <w:rPr>
          <w:sz w:val="24"/>
        </w:rPr>
        <w:t>1</w:t>
      </w:r>
      <w:r>
        <w:rPr>
          <w:sz w:val="24"/>
        </w:rPr>
        <w:t>、本合同适用中华人民共和国相关法律。本合同履行过程中，如发生争议，应协商解决，协商不成的，</w:t>
      </w:r>
      <w:r>
        <w:rPr>
          <w:sz w:val="24"/>
        </w:rPr>
        <w:t>任何一方均</w:t>
      </w:r>
      <w:r>
        <w:rPr>
          <w:sz w:val="24"/>
        </w:rPr>
        <w:t>可向承租物业所在地人民法院起诉。</w:t>
      </w:r>
    </w:p>
    <w:p>
      <w:pPr>
        <w:ind w:firstLine="480"/>
        <w:jc w:val="both"/>
      </w:pPr>
      <w:r>
        <w:rPr>
          <w:sz w:val="24"/>
        </w:rPr>
        <w:t>2</w:t>
      </w:r>
      <w:r>
        <w:rPr>
          <w:sz w:val="24"/>
        </w:rPr>
        <w:t>、双方确定，双方于本合同约定的文书送达地址真实有效，该地址的适用范围包括非诉阶段和诉讼阶段的一审、二审、再审和执行程序。一旦纠纷进入上述诉讼程序，人民法院即可按约定的文书送达地址以直接送达、邮寄送达方式送达各类法律文书，双方依照合同约定承担有效送达的法律后果。如一方需变更文书送达地址，应在变更后</w:t>
      </w:r>
      <w:r>
        <w:rPr>
          <w:sz w:val="24"/>
        </w:rPr>
        <w:t>7</w:t>
      </w:r>
      <w:r>
        <w:rPr>
          <w:sz w:val="24"/>
        </w:rPr>
        <w:t>个工作日内书面通知对方，如未按约定方式告知对方的，原文书送达地址仍为有效送达地址。</w:t>
      </w:r>
    </w:p>
    <w:p>
      <w:pPr>
        <w:ind w:firstLine="480"/>
        <w:jc w:val="both"/>
      </w:pPr>
      <w:r>
        <w:rPr>
          <w:sz w:val="24"/>
        </w:rPr>
        <w:t>（</w:t>
      </w:r>
      <w:r>
        <w:rPr>
          <w:sz w:val="24"/>
        </w:rPr>
        <w:t>1</w:t>
      </w:r>
      <w:r>
        <w:rPr>
          <w:sz w:val="24"/>
        </w:rPr>
        <w:t>）甲方（或者乙方）按本合同约定的乙方（或者甲方）送达地址以特快专递或者挂号信寄出的文书，在发出五天后即视为送达。</w:t>
      </w:r>
    </w:p>
    <w:p>
      <w:pPr>
        <w:ind w:firstLine="480"/>
        <w:jc w:val="both"/>
      </w:pPr>
      <w:r>
        <w:rPr>
          <w:sz w:val="24"/>
        </w:rPr>
        <w:t>（</w:t>
      </w:r>
      <w:r>
        <w:rPr>
          <w:sz w:val="24"/>
        </w:rPr>
        <w:t>2</w:t>
      </w:r>
      <w:r>
        <w:rPr>
          <w:sz w:val="24"/>
        </w:rPr>
        <w:t>）人民法院按当事人约定的地址进行送达，因当事人提供或者确认的送达地址不准确、送达地址变更后未按照程序及时告知</w:t>
      </w:r>
      <w:r>
        <w:rPr>
          <w:sz w:val="24"/>
        </w:rPr>
        <w:t>对</w:t>
      </w:r>
      <w:r>
        <w:rPr>
          <w:sz w:val="24"/>
        </w:rPr>
        <w:t>方或人民法院、当事人或其指定的接收人拒绝签收等原因，导致法律文书未能被当事人实际接收的，也视为送达。邮寄送达的，以文书退回之日视为送达之日；直接送达的，送达人当场在送达回证上证明情况之日视为送达之日。</w:t>
      </w:r>
    </w:p>
    <w:p>
      <w:pPr>
        <w:ind w:firstLine="480"/>
        <w:jc w:val="both"/>
      </w:pPr>
      <w:r>
        <w:rPr>
          <w:sz w:val="24"/>
        </w:rPr>
        <w:t>3</w:t>
      </w:r>
      <w:r>
        <w:rPr>
          <w:sz w:val="24"/>
        </w:rPr>
        <w:t>、本合同一式捌份，自甲、乙双方法定代表人或授权代表签字或加盖公章后生效，甲方持叁份，乙方持肆份，备案壹份。</w:t>
      </w:r>
    </w:p>
    <w:p>
      <w:pPr>
        <w:ind w:firstLine="480"/>
        <w:jc w:val="both"/>
      </w:pPr>
      <w:r>
        <w:rPr>
          <w:sz w:val="24"/>
        </w:rPr>
        <w:t>4</w:t>
      </w:r>
      <w:r>
        <w:rPr>
          <w:sz w:val="24"/>
        </w:rPr>
        <w:t>、</w:t>
      </w:r>
      <w:r>
        <w:rPr>
          <w:sz w:val="24"/>
        </w:rPr>
        <w:t>招标文件和投标文件是本合同的附件，是本合同不可分割部分。</w:t>
      </w:r>
    </w:p>
    <w:p>
      <w:pPr>
        <w:ind w:firstLine="480"/>
        <w:jc w:val="both"/>
      </w:pPr>
      <w:r>
        <w:rPr>
          <w:sz w:val="24"/>
        </w:rPr>
        <w:t>（以下无正文）</w:t>
      </w:r>
    </w:p>
    <w:p>
      <w:pPr>
        <w:jc w:val="both"/>
      </w:pPr>
    </w:p>
    <w:p>
      <w:pPr>
        <w:jc w:val="both"/>
      </w:pPr>
      <w:r>
        <w:rPr>
          <w:b/>
          <w:sz w:val="24"/>
        </w:rPr>
        <w:t>甲方（盖章）：</w:t>
      </w:r>
      <w:r>
        <w:rPr>
          <w:b/>
          <w:sz w:val="24"/>
        </w:rPr>
        <w:t xml:space="preserve">                      </w:t>
      </w:r>
      <w:r>
        <w:rPr>
          <w:b/>
          <w:sz w:val="24"/>
        </w:rPr>
        <w:t>乙方（盖章）：</w:t>
      </w:r>
    </w:p>
    <w:p>
      <w:pPr>
        <w:jc w:val="both"/>
      </w:pPr>
      <w:r>
        <w:rPr>
          <w:b/>
          <w:sz w:val="24"/>
        </w:rPr>
        <w:t>代表：</w:t>
      </w:r>
      <w:r>
        <w:rPr>
          <w:b/>
          <w:sz w:val="24"/>
        </w:rPr>
        <w:t xml:space="preserve">                   </w:t>
      </w:r>
      <w:r>
        <w:rPr>
          <w:b/>
          <w:sz w:val="24"/>
        </w:rPr>
        <w:t>代表：</w:t>
      </w:r>
    </w:p>
    <w:p>
      <w:pPr>
        <w:jc w:val="both"/>
      </w:pPr>
      <w:r>
        <w:rPr>
          <w:sz w:val="24"/>
        </w:rPr>
        <w:t>签定日期：</w:t>
      </w: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r>
        <w:rPr>
          <w:sz w:val="24"/>
        </w:rPr>
        <w:t>签定日期：</w:t>
      </w:r>
      <w:r>
        <w:rPr>
          <w:sz w:val="24"/>
        </w:rPr>
        <w:t xml:space="preserve">  </w:t>
      </w:r>
      <w:r>
        <w:rPr>
          <w:sz w:val="24"/>
        </w:rPr>
        <w:t>年</w:t>
      </w:r>
      <w:r>
        <w:rPr>
          <w:sz w:val="24"/>
        </w:rPr>
        <w:t xml:space="preserve">  </w:t>
      </w:r>
      <w:r>
        <w:rPr>
          <w:sz w:val="24"/>
        </w:rPr>
        <w:t>月</w:t>
      </w:r>
      <w:r>
        <w:rPr>
          <w:sz w:val="24"/>
        </w:rPr>
        <w:t xml:space="preserve">   </w:t>
      </w:r>
      <w:r>
        <w:rPr>
          <w:sz w:val="24"/>
        </w:rPr>
        <w:t>日</w:t>
      </w:r>
    </w:p>
    <w:p>
      <w:pPr>
        <w:jc w:val="both"/>
      </w:pPr>
      <w:r>
        <w:rPr>
          <w:sz w:val="24"/>
        </w:rPr>
        <w:t>签定地点：</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440115-2022-03768</w:t>
      </w:r>
    </w:p>
    <w:p>
      <w:pPr>
        <w:jc w:val="center"/>
      </w:pPr>
      <w:r>
        <w:rPr>
          <w:b/>
          <w:sz w:val="24"/>
        </w:rPr>
        <w:t>采购项目编号：</w:t>
      </w:r>
      <w:r>
        <w:rPr>
          <w:b/>
          <w:sz w:val="24"/>
        </w:rPr>
        <w:t>C001011-20220071</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r>
        <w:rPr>
          <w:b/>
          <w:sz w:val="24"/>
        </w:rPr>
        <w:t>投标函</w:t>
      </w:r>
    </w:p>
    <w:p>
      <w:pPr>
        <w:ind w:firstLine="480"/>
      </w:pPr>
      <w:r>
        <w:rPr/>
        <w:t>致：</w:t>
      </w:r>
      <w:r>
        <w:rPr>
          <w:u w:val="single"/>
        </w:rPr>
        <w:t>广东国利招标有限公司</w:t>
      </w:r>
    </w:p>
    <w:p>
      <w:pPr>
        <w:ind w:firstLine="480"/>
      </w:pPr>
      <w:r>
        <w:rPr/>
        <w:t>你方组织的</w:t>
      </w:r>
      <w:r>
        <w:rPr>
          <w:u w:val="single"/>
        </w:rPr>
        <w:t>大湾区科学论坛运营机构办公场所租赁</w:t>
      </w:r>
      <w:r>
        <w:rPr/>
        <w:t>项目的招标[采购项目编号为：</w:t>
      </w:r>
      <w:r>
        <w:rPr>
          <w:u w:val="single"/>
        </w:rPr>
        <w:t>C001011-20220071</w:t>
      </w:r>
      <w:r>
        <w:rPr/>
        <w:t>]，我方愿参与投标。</w:t>
      </w:r>
    </w:p>
    <w:p>
      <w:pPr>
        <w:ind w:firstLine="480"/>
      </w:pPr>
      <w:r>
        <w:rPr/>
        <w:t>我方确认收到贵方提供的</w:t>
      </w:r>
      <w:r>
        <w:rPr>
          <w:u w:val="single"/>
        </w:rPr>
        <w:t>大湾区科学论坛运营机构办公场所租赁</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广东国利招标有限公司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大湾区科学论坛运营机构办公场所租赁</w:t>
      </w:r>
      <w:r>
        <w:rPr/>
        <w:t>项目采购[采购项目编号为</w:t>
      </w:r>
      <w:r>
        <w:rPr/>
        <w:t>C001011-20220071</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广州南沙开发区科技局、南沙区科技局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广东国利招标有限公司</w:t>
      </w:r>
    </w:p>
    <w:p>
      <w:pPr>
        <w:ind w:firstLine="480"/>
      </w:pPr>
      <w:r>
        <w:rPr/>
        <w:t>如果我方在贵采购代理机构组织的</w:t>
      </w:r>
      <w:r>
        <w:rPr/>
        <w:t>大湾区科学论坛运营机构办公场所租赁</w:t>
      </w:r>
      <w:r>
        <w:rPr/>
        <w:t>招标中获中标（采购项目编号：</w:t>
      </w:r>
      <w:r>
        <w:rPr/>
        <w:t>C001011-20220071</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广东国利招标有限公司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