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440001-2022-31440</w:t>
      </w:r>
    </w:p>
    <w:p>
      <w:pPr>
        <w:jc w:val="center"/>
      </w:pPr>
      <w:r>
        <w:rPr>
          <w:b/>
          <w:sz w:val="24"/>
        </w:rPr>
        <w:t>采购项目编号：</w:t>
      </w:r>
      <w:r>
        <w:rPr>
          <w:b/>
          <w:sz w:val="24"/>
        </w:rPr>
        <w:t>C001011--20220041</w:t>
      </w:r>
    </w:p>
    <w:p>
      <w:pPr>
        <w:jc w:val="center"/>
      </w:pPr>
      <w:r>
        <w:rPr>
          <w:b/>
          <w:sz w:val="24"/>
        </w:rPr>
        <w:t>项目名称：</w:t>
      </w:r>
      <w:r>
        <w:rPr>
          <w:b/>
          <w:sz w:val="24"/>
        </w:rPr>
        <w:t>中山大学中山眼科中心中央财政医疗服务与保障能力提升设备采购</w:t>
      </w:r>
    </w:p>
    <w:p>
      <w:pPr>
        <w:jc w:val="center"/>
      </w:pPr>
      <w:r>
        <w:rPr>
          <w:b/>
          <w:sz w:val="24"/>
        </w:rPr>
        <w:t>采购人：</w:t>
      </w:r>
      <w:r>
        <w:rPr>
          <w:b/>
          <w:sz w:val="24"/>
        </w:rPr>
        <w:t>中山大学中山眼科中心</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中山大学中山眼科中心</w:t>
      </w:r>
      <w:r>
        <w:rPr/>
        <w:t>的委托，采用</w:t>
      </w:r>
      <w:r>
        <w:rPr/>
        <w:t>公开招标</w:t>
      </w:r>
      <w:r>
        <w:rPr/>
        <w:t>方式组织采购</w:t>
      </w:r>
      <w:r>
        <w:rPr/>
        <w:t>中山大学中山眼科中心中央财政医疗服务与保障能力提升设备采购</w:t>
      </w:r>
      <w:r>
        <w:rPr/>
        <w:t>。欢迎符合资格条件的国内供应商参加投标。</w:t>
      </w:r>
    </w:p>
    <w:p>
      <w:r>
        <w:rPr>
          <w:b/>
          <w:sz w:val="28"/>
        </w:rPr>
        <w:t>一.项目概述</w:t>
      </w:r>
    </w:p>
    <w:p>
      <w:r>
        <w:rPr>
          <w:b/>
          <w:sz w:val="24"/>
        </w:rPr>
        <w:t>1.名称与编号</w:t>
      </w:r>
    </w:p>
    <w:p>
      <w:pPr>
        <w:ind w:firstLine="480"/>
      </w:pPr>
      <w:r>
        <w:rPr/>
        <w:t>项目名称：</w:t>
      </w:r>
      <w:r>
        <w:rPr/>
        <w:t>中山大学中山眼科中心中央财政医疗服务与保障能力提升设备采购</w:t>
      </w:r>
    </w:p>
    <w:p>
      <w:pPr>
        <w:ind w:firstLine="480"/>
      </w:pPr>
      <w:r>
        <w:rPr/>
        <w:t>采购计划编号：</w:t>
      </w:r>
      <w:r>
        <w:rPr/>
        <w:t>440001-2022-31440</w:t>
      </w:r>
    </w:p>
    <w:p>
      <w:pPr>
        <w:ind w:firstLine="480"/>
      </w:pPr>
      <w:r>
        <w:rPr/>
        <w:t>采购项目编号：</w:t>
      </w:r>
      <w:r>
        <w:rPr/>
        <w:t>C001011--20220041</w:t>
      </w:r>
    </w:p>
    <w:p>
      <w:pPr>
        <w:ind w:firstLine="480"/>
      </w:pPr>
      <w:r>
        <w:rPr/>
        <w:t>采购方式：</w:t>
      </w:r>
      <w:r>
        <w:rPr/>
        <w:t>公开招标</w:t>
      </w:r>
    </w:p>
    <w:p>
      <w:pPr>
        <w:ind w:firstLine="480"/>
      </w:pPr>
      <w:r>
        <w:rPr/>
        <w:t>预算金额：</w:t>
      </w:r>
      <w:r>
        <w:rPr/>
        <w:t>996,000.00</w:t>
      </w:r>
      <w:r>
        <w:rPr/>
        <w:t>元</w:t>
      </w:r>
    </w:p>
    <w:p>
      <w:r>
        <w:rPr>
          <w:b/>
          <w:sz w:val="24"/>
        </w:rPr>
        <w:t>2.项目内容及需求情况（采购项目技术规格、参数及要求）</w:t>
      </w:r>
    </w:p>
    <w:p>
      <w:pPr>
        <w:ind w:firstLine="480"/>
      </w:pPr>
    </w:p>
    <w:p/>
    <w:p>
      <w:r>
        <w:rPr/>
        <w:t>采购包1(麻醉机):</w:t>
      </w:r>
    </w:p>
    <w:p>
      <w:r>
        <w:rPr/>
        <w:t>采购包预算金额：996,000.00元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手术急救设备及器具</w:t>
            </w:r>
          </w:p>
        </w:tc>
        <w:tc>
          <w:tcPr>
            <w:tcW w:type="dxa" w:w="2052"/>
          </w:tcPr>
          <w:p>
            <w:r>
              <w:rPr/>
              <w:t>麻醉机</w:t>
            </w:r>
          </w:p>
        </w:tc>
        <w:tc>
          <w:tcPr>
            <w:tcW w:type="dxa" w:w="977"/>
          </w:tcPr>
          <w:p>
            <w:r>
              <w:rPr/>
              <w:t>2.0000(套)</w:t>
            </w:r>
          </w:p>
        </w:tc>
        <w:tc>
          <w:tcPr>
            <w:tcW w:type="dxa" w:w="977"/>
          </w:tcPr>
          <w:p>
            <w:r>
              <w:rPr/>
              <w:t>详见第二章</w:t>
            </w:r>
          </w:p>
        </w:tc>
        <w:tc>
          <w:tcPr>
            <w:tcW w:type="dxa" w:w="977"/>
          </w:tcPr>
          <w:p>
            <w:r>
              <w:rPr/>
              <w:t>996,000.00</w:t>
            </w:r>
          </w:p>
        </w:tc>
        <w:tc>
          <w:tcPr>
            <w:tcW w:type="dxa" w:w="977"/>
          </w:tcPr>
          <w:p>
            <w:r>
              <w:rPr/>
              <w:t>否</w:t>
            </w:r>
          </w:p>
        </w:tc>
      </w:tr>
    </w:tbl>
    <w:p/>
    <w:p>
      <w:r>
        <w:rPr/>
        <w:t>本采购包不接受联合体投标</w:t>
      </w:r>
    </w:p>
    <w:p/>
    <w:p>
      <w:r>
        <w:rPr/>
        <w:t>合同履行期限：质保服务期限2年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2）有依法缴纳税收和社会保障资金的良好记录：（提供声明函）</w:t>
      </w:r>
    </w:p>
    <w:p/>
    <w:p>
      <w:r>
        <w:rPr/>
        <w:t>3）具有良好的商业信誉和健全的财务会计制度：（提供声明函）</w:t>
      </w:r>
    </w:p>
    <w:p/>
    <w:p>
      <w:r>
        <w:rPr/>
        <w:t>4）履行合同所必需的设备和专业技术能力：（提供声明函）</w:t>
      </w:r>
    </w:p>
    <w:p/>
    <w:p>
      <w:r>
        <w:rPr/>
        <w:t>5）参加采购活动前3年内，在经营活动中没有重大违法记录：在经营活动中没有重大违法记录：参照投标（报价）函相 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采购包1（麻醉机）：</w:t>
      </w:r>
      <w:r>
        <w:rPr/>
        <w:t>本项目不属于专门面向中小企业采购的项目，属于《政府采购促进中小企业发展管理办法》第六条第二款第（三）项情形。</w:t>
      </w:r>
    </w:p>
    <w:p/>
    <w:p>
      <w:r>
        <w:rPr>
          <w:b/>
          <w:sz w:val="24"/>
        </w:rPr>
        <w:t>3.本项目特定的资格要求：</w:t>
      </w:r>
    </w:p>
    <w:p>
      <w:pPr>
        <w:ind w:firstLine="480"/>
      </w:pPr>
    </w:p>
    <w:p/>
    <w:p>
      <w:r>
        <w:rPr/>
        <w:t>采购包1（麻醉机）：</w:t>
      </w:r>
    </w:p>
    <w:p/>
    <w:p>
      <w:r>
        <w:rPr/>
        <w:t>1)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3)投标人必须提供公平竞争承诺书；</w:t>
      </w:r>
    </w:p>
    <w:p/>
    <w:p>
      <w:r>
        <w:rPr/>
        <w:t>4)本项目不接受联合体投标。（提供声明函）</w:t>
      </w:r>
    </w:p>
    <w:p/>
    <w:p>
      <w:r>
        <w:rPr/>
        <w:t>5)（1）供应商为所投产品的生产企业的，必须提供《医疗器械生产企业许可证》或《医疗器械生产备案凭证》，且生产范围包含该产品；供应商为所投产品的代理商或授权供应商，必须提供《医疗器械经营企业许可证》或《医疗器械经营备案凭证》，且经营范围包含该产品。（2）食品药品监督管理局对投标产品有注册或备案要求的，供应商必须提供所投产品的《医疗器械注册证》或医疗器械备案证明。</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中山大学中山眼科中心</w:t>
      </w:r>
    </w:p>
    <w:p>
      <w:pPr>
        <w:ind w:firstLine="480"/>
      </w:pPr>
      <w:r>
        <w:rPr/>
        <w:t>地址：</w:t>
      </w:r>
      <w:r>
        <w:rPr/>
        <w:t>广州市天河区珠江新城金穗路7号</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8"/>
        </w:rPr>
        <w:t>一、项目概况：</w:t>
      </w:r>
    </w:p>
    <w:p>
      <w:pPr>
        <w:ind w:firstLine="440"/>
        <w:jc w:val="both"/>
      </w:pPr>
      <w:r>
        <w:rPr>
          <w:sz w:val="22"/>
        </w:rPr>
        <w:t>【备注】</w:t>
      </w:r>
    </w:p>
    <w:p>
      <w:pPr>
        <w:ind w:firstLine="440"/>
        <w:jc w:val="both"/>
      </w:pPr>
      <w:r>
        <w:rPr>
          <w:sz w:val="22"/>
        </w:rPr>
        <w:t>★</w:t>
      </w:r>
      <w:r>
        <w:rPr>
          <w:sz w:val="22"/>
        </w:rPr>
        <w:t>号条款为必须满足项，任何负偏离将导致废标；</w:t>
      </w:r>
      <w:r>
        <w:rPr>
          <w:sz w:val="22"/>
        </w:rPr>
        <w:t>▲</w:t>
      </w:r>
      <w:r>
        <w:rPr>
          <w:sz w:val="22"/>
        </w:rPr>
        <w:t>号条款为重要技术考量指标，负偏离不导致废标，如不满足将严重扣分。</w:t>
      </w:r>
    </w:p>
    <w:p>
      <w:pPr>
        <w:ind w:firstLine="440"/>
        <w:jc w:val="both"/>
      </w:pPr>
      <w:r>
        <w:rPr>
          <w:sz w:val="22"/>
        </w:rPr>
        <w:t>★</w:t>
      </w:r>
      <w:r>
        <w:rPr>
          <w:sz w:val="22"/>
        </w:rPr>
        <w:t>报价人必须在《报价表》中清晰列明投标产品的</w:t>
      </w:r>
      <w:r>
        <w:rPr>
          <w:sz w:val="22"/>
        </w:rPr>
        <w:t>“</w:t>
      </w:r>
      <w:r>
        <w:rPr>
          <w:sz w:val="22"/>
        </w:rPr>
        <w:t>设备名称、品牌</w:t>
      </w:r>
      <w:r>
        <w:rPr>
          <w:sz w:val="22"/>
        </w:rPr>
        <w:t>”</w:t>
      </w:r>
      <w:r>
        <w:rPr>
          <w:sz w:val="22"/>
        </w:rPr>
        <w:t>。否则，视为投标无效。本项目投标产品只要出现相同品牌的，均被认定为一家投标人来计算。</w:t>
      </w:r>
    </w:p>
    <w:p>
      <w:pPr>
        <w:ind w:firstLine="440"/>
        <w:jc w:val="both"/>
      </w:pPr>
      <w:r>
        <w:rPr>
          <w:sz w:val="22"/>
        </w:rPr>
        <w:t>★</w:t>
      </w:r>
      <w:r>
        <w:rPr>
          <w:sz w:val="22"/>
        </w:rPr>
        <w:t>所投医疗产品具有有效的医疗器械注册证明。（如国家另有规定，则适用其规定）。</w:t>
      </w:r>
    </w:p>
    <w:tbl>
      <w:tblPr>
        <w:tblW w:w="0" w:type="auto"/>
        <w:tblBorders>
          <w:top w:val="none" w:color="000000" w:sz="4"/>
          <w:left w:val="none" w:color="000000" w:sz="4"/>
          <w:bottom w:val="none" w:color="000000" w:sz="4"/>
          <w:right w:val="none" w:color="000000" w:sz="4"/>
          <w:insideH w:val="none"/>
          <w:insideV w:val="none"/>
        </w:tblBorders>
      </w:tblPr>
      <w:tblGrid>
        <w:gridCol w:w="2763"/>
        <w:gridCol w:w="1265"/>
        <w:gridCol w:w="1858"/>
        <w:gridCol w:w="2420"/>
      </w:tblGrid>
      <w:tr>
        <w:tc>
          <w:tcPr>
            <w:tcW w:type="dxa" w:w="2763"/>
            <w:tcBorders>
              <w:top w:val="single" w:color="000000" w:sz="4"/>
              <w:left w:val="single" w:color="000000" w:sz="4"/>
              <w:bottom w:val="single" w:color="000000" w:sz="4"/>
              <w:right w:val="single" w:color="000000" w:sz="4"/>
            </w:tcBorders>
            <w:vAlign w:val="top"/>
          </w:tcPr>
          <w:p>
            <w:pPr>
              <w:jc w:val="center"/>
            </w:pPr>
            <w:r>
              <w:rPr>
                <w:b/>
                <w:sz w:val="24"/>
              </w:rPr>
              <w:t>项目内容</w:t>
            </w:r>
          </w:p>
        </w:tc>
        <w:tc>
          <w:tcPr>
            <w:tcW w:type="dxa" w:w="1265"/>
            <w:tcBorders>
              <w:top w:val="single" w:color="000000" w:sz="4"/>
              <w:left w:val="none" w:color="000000" w:sz="4"/>
              <w:bottom w:val="single" w:color="000000" w:sz="4"/>
              <w:right w:val="single" w:color="000000" w:sz="4"/>
            </w:tcBorders>
            <w:vAlign w:val="top"/>
          </w:tcPr>
          <w:p>
            <w:pPr>
              <w:jc w:val="center"/>
            </w:pPr>
            <w:r>
              <w:rPr>
                <w:b/>
                <w:sz w:val="24"/>
              </w:rPr>
              <w:t>质保服务期限</w:t>
            </w:r>
          </w:p>
        </w:tc>
        <w:tc>
          <w:tcPr>
            <w:tcW w:type="dxa" w:w="1858"/>
            <w:tcBorders>
              <w:top w:val="single" w:color="000000" w:sz="4"/>
              <w:left w:val="none" w:color="000000" w:sz="4"/>
              <w:bottom w:val="single" w:color="000000" w:sz="4"/>
              <w:right w:val="single" w:color="000000" w:sz="4"/>
            </w:tcBorders>
            <w:vAlign w:val="top"/>
          </w:tcPr>
          <w:p>
            <w:pPr>
              <w:jc w:val="center"/>
            </w:pPr>
            <w:r>
              <w:rPr>
                <w:sz w:val="22"/>
              </w:rPr>
              <w:t>交货期</w:t>
            </w:r>
          </w:p>
        </w:tc>
        <w:tc>
          <w:tcPr>
            <w:tcW w:type="dxa" w:w="2420"/>
            <w:tcBorders>
              <w:top w:val="single" w:color="000000" w:sz="4"/>
              <w:left w:val="none" w:color="000000" w:sz="4"/>
              <w:bottom w:val="single" w:color="000000" w:sz="4"/>
              <w:right w:val="single" w:color="000000" w:sz="4"/>
            </w:tcBorders>
            <w:vAlign w:val="top"/>
          </w:tcPr>
          <w:p>
            <w:pPr>
              <w:jc w:val="center"/>
            </w:pPr>
            <w:r>
              <w:rPr>
                <w:b/>
                <w:sz w:val="24"/>
              </w:rPr>
              <w:t>最高限价（人民币）</w:t>
            </w:r>
          </w:p>
        </w:tc>
      </w:tr>
      <w:tr>
        <w:tc>
          <w:tcPr>
            <w:tcW w:type="dxa" w:w="2763"/>
            <w:tcBorders>
              <w:top w:val="none" w:color="000000" w:sz="4"/>
              <w:left w:val="single" w:color="000000" w:sz="4"/>
              <w:bottom w:val="single" w:color="000000" w:sz="4"/>
              <w:right w:val="single" w:color="000000" w:sz="4"/>
            </w:tcBorders>
            <w:vAlign w:val="top"/>
          </w:tcPr>
          <w:p>
            <w:pPr>
              <w:jc w:val="center"/>
            </w:pPr>
            <w:r>
              <w:rPr>
                <w:sz w:val="21"/>
              </w:rPr>
              <w:t>麻醉机</w:t>
            </w:r>
          </w:p>
        </w:tc>
        <w:tc>
          <w:tcPr>
            <w:tcW w:type="dxa" w:w="1265"/>
            <w:tcBorders>
              <w:top w:val="none" w:color="000000" w:sz="4"/>
              <w:left w:val="none" w:color="000000" w:sz="4"/>
              <w:bottom w:val="single" w:color="000000" w:sz="4"/>
              <w:right w:val="single" w:color="000000" w:sz="4"/>
            </w:tcBorders>
            <w:vAlign w:val="top"/>
          </w:tcPr>
          <w:p>
            <w:pPr>
              <w:jc w:val="center"/>
            </w:pPr>
            <w:r>
              <w:rPr>
                <w:color w:val="000000"/>
                <w:sz w:val="24"/>
              </w:rPr>
              <w:t>2</w:t>
            </w:r>
            <w:r>
              <w:rPr>
                <w:color w:val="000000"/>
                <w:sz w:val="24"/>
              </w:rPr>
              <w:t>年</w:t>
            </w:r>
          </w:p>
        </w:tc>
        <w:tc>
          <w:tcPr>
            <w:tcW w:type="dxa" w:w="1858"/>
            <w:tcBorders>
              <w:top w:val="none" w:color="000000" w:sz="4"/>
              <w:left w:val="none" w:color="000000" w:sz="4"/>
              <w:bottom w:val="single" w:color="000000" w:sz="4"/>
              <w:right w:val="single" w:color="000000" w:sz="4"/>
            </w:tcBorders>
            <w:vAlign w:val="top"/>
          </w:tcPr>
          <w:p>
            <w:pPr>
              <w:jc w:val="center"/>
            </w:pPr>
            <w:r>
              <w:rPr>
                <w:color w:val="000000"/>
                <w:sz w:val="22"/>
              </w:rPr>
              <w:t>合同签订后</w:t>
            </w:r>
            <w:r>
              <w:rPr>
                <w:color w:val="000000"/>
                <w:sz w:val="22"/>
              </w:rPr>
              <w:t>90</w:t>
            </w:r>
            <w:r>
              <w:rPr>
                <w:color w:val="000000"/>
                <w:sz w:val="22"/>
              </w:rPr>
              <w:t>个日历日内完成供货、安装、调试、交付使用。</w:t>
            </w:r>
          </w:p>
        </w:tc>
        <w:tc>
          <w:tcPr>
            <w:tcW w:type="dxa" w:w="2420"/>
            <w:tcBorders>
              <w:top w:val="none" w:color="000000" w:sz="4"/>
              <w:left w:val="none" w:color="000000" w:sz="4"/>
              <w:bottom w:val="single" w:color="000000" w:sz="4"/>
              <w:right w:val="single" w:color="000000" w:sz="4"/>
            </w:tcBorders>
            <w:vAlign w:val="top"/>
          </w:tcPr>
          <w:p>
            <w:pPr>
              <w:jc w:val="center"/>
            </w:pPr>
            <w:r>
              <w:rPr>
                <w:sz w:val="24"/>
              </w:rPr>
              <w:t>996000.00</w:t>
            </w:r>
            <w:r>
              <w:rPr>
                <w:sz w:val="24"/>
              </w:rPr>
              <w:t>元</w:t>
            </w:r>
          </w:p>
          <w:p>
            <w:pPr>
              <w:jc w:val="center"/>
            </w:pPr>
            <w:r>
              <w:rPr>
                <w:b/>
                <w:sz w:val="24"/>
              </w:rPr>
              <w:t>投标报价超出最高限价投标无效</w:t>
            </w:r>
          </w:p>
        </w:tc>
      </w:tr>
    </w:tbl>
    <w:p>
      <w:pPr>
        <w:ind w:firstLine="440"/>
        <w:jc w:val="both"/>
      </w:pPr>
      <w:r>
        <w:rPr>
          <w:sz w:val="22"/>
        </w:rPr>
        <w:t>注：</w:t>
      </w:r>
      <w:r>
        <w:rPr>
          <w:sz w:val="22"/>
        </w:rPr>
        <w:t>1.</w:t>
      </w:r>
      <w:r>
        <w:rPr>
          <w:sz w:val="22"/>
        </w:rPr>
        <w:t>详细技术规范请参阅招标文件中的《用户需求书》。</w:t>
      </w:r>
    </w:p>
    <w:p>
      <w:pPr>
        <w:ind w:firstLine="440"/>
        <w:jc w:val="both"/>
      </w:pPr>
      <w:r>
        <w:rPr>
          <w:sz w:val="22"/>
        </w:rPr>
        <w:t>2.</w:t>
      </w:r>
      <w:r>
        <w:rPr>
          <w:sz w:val="22"/>
        </w:rPr>
        <w:t>本项目设备经政府采购监管部门同意，采购本国产品或不属于国家法律法规政策明确规定限制的进口产品。</w:t>
      </w:r>
    </w:p>
    <w:p>
      <w:pPr>
        <w:jc w:val="both"/>
      </w:pPr>
      <w:r>
        <w:rPr>
          <w:sz w:val="22"/>
        </w:rPr>
        <w:t xml:space="preserve">   3.</w:t>
      </w:r>
      <w:r>
        <w:rPr>
          <w:sz w:val="22"/>
        </w:rPr>
        <w:t>投标人应对本项目所投的全部内容进行投标，不允许仅对部分内容进行投标，任何只对其中部分内容进行的投标均被视为无效投标。</w:t>
      </w:r>
    </w:p>
    <w:p/>
    <w:p>
      <w:pPr>
        <w:ind w:firstLine="480"/>
      </w:pPr>
    </w:p>
    <w:p/>
    <w:p>
      <w:r>
        <w:rPr/>
        <w:t>采购包1（麻醉机）：</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合同签订后90个日历日内完成供货、安装、调试、交付使用。</w:t>
            </w:r>
          </w:p>
        </w:tc>
      </w:tr>
      <w:tr>
        <w:tc>
          <w:tcPr>
            <w:tcW w:type="dxa" w:w="4153"/>
          </w:tcPr>
          <w:p>
            <w:r>
              <w:rPr/>
              <w:t>标的提供的地点</w:t>
            </w:r>
          </w:p>
        </w:tc>
        <w:tc>
          <w:tcPr>
            <w:tcW w:type="dxa" w:w="4153"/>
          </w:tcPr>
          <w:p>
            <w:pPr>
              <w:jc w:val="left"/>
            </w:pPr>
          </w:p>
          <w:p>
            <w:r>
              <w:rPr/>
              <w:t>按采购人要求</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1期：支付比例30%，1）结算货币：人民币。 2）合同签订后,金额预付30％，在合同期内供货；</w:t>
            </w:r>
          </w:p>
          <w:p/>
          <w:p>
            <w:r>
              <w:rPr/>
              <w:t>2期：支付比例65%，待货到安装、培训、运行且验收合格后（90天内）付至合同总额的百分之九十五，</w:t>
            </w:r>
          </w:p>
          <w:p/>
          <w:p>
            <w:r>
              <w:rPr/>
              <w:t>3期：支付比例5%，余款待仪器运行一年无故障并经使用部门及职能科室确认后一次付清。</w:t>
            </w:r>
          </w:p>
        </w:tc>
      </w:tr>
      <w:tr>
        <w:tc>
          <w:tcPr>
            <w:tcW w:type="dxa" w:w="4153"/>
          </w:tcPr>
          <w:p>
            <w:r>
              <w:rPr/>
              <w:t>验收要求</w:t>
            </w:r>
          </w:p>
        </w:tc>
        <w:tc>
          <w:tcPr>
            <w:tcW w:type="dxa" w:w="4153"/>
          </w:tcPr>
          <w:p>
            <w:pPr>
              <w:jc w:val="left"/>
            </w:pPr>
          </w:p>
          <w:p/>
          <w:p/>
          <w:p>
            <w:r>
              <w:rPr/>
              <w:t>1期：投标人应根据所提交的验收方案和实施办法，自行组织设备和人员，并在使用单位监查下现场进行测试和验收。 （1）开箱检验 1）所有设备、器材在开箱时必须完好，无破损。配置与装箱单相符。数量、质量及性能不低于合同要求。 2）拆箱后，投标人应对其全部产品、零件、配件、用户许可证书、资料、介质造册登记，并与装箱单对比，如有出入应立即书面记录，由供货商解决，如影响安装则按合同有关条款处理。 （2）设备测试 设备安装完成后，按照系统要求的基本功能逐一测试。 1）系统运行正常，联机测试通过。 2）如商检或设备测试中发现设备性能指标或功能上不符合招标文件和合同时，将被看作性能不合格，设备使用单位有权拒收并要求赔偿。 3）投标人应负责在项目验收时将系统的全部有关产品说明书、原厂家安装手册、技术文件、资料、及安装、验收报告等文档交付设备使用单位。 （3）产品验收要求 1）要求对全部设备、产品、型号、规格、数量、外型、外观、包装及资料、文件（如装箱单、保修单、随箱介质等）的验收。 2）凡列入《中华人民共和国实施强制性产品认证的产品目录》的产品在验收时出具CCC认证证书复印件，并以在产品外部加施认证标志作为验收依据之一。 3）投标人应负责在项目验收时将系统的全部有关产品说明书、原厂家安装手册、技术文件、资料、及安装、验收报告等文档汇集成册交付设备使用单位。</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其他:1、实施要求 1）</w:t>
              <w:tab/>
              <w:t>要求投标人必须具有良好信誉和相关实力的技术队伍。 2）</w:t>
              <w:tab/>
              <w:t>投标人应本着认真负责态度，组织技术队伍，做好投标的整体方案，并书面提出保修、维护、服务以及今后技术支持的措施计划和承诺。 3）</w:t>
              <w:tab/>
              <w:t>所有设备均须由投标人送货上门并安装调试。用户不再支付任何费用。 4）</w:t>
              <w:tab/>
              <w:t>自设备安装工作一开始，投标人应允许使用单位的工作人员参与设备的安装、测试、诊断及解决遇到的问题等各项工作。 2、售后服务及质量保证 1） 所有产品均需提供至少2年质量保证和免费上门保修服务。 2） 保修期内，所有硬件设备及其配件的维修均为免费。 3） 设备故障报修的响应时间：每天8:00～18:00期间为2小时。其余期间为8小时。如果设备故障在检修8小时后仍无法排除，中标人应在48小时内提供不低于故障设备规格型号档次的备用设备供采购人使用，直至故障设备修复。 4） 保修期内，所有设备维修服务均为原厂上门服务，由此产生的费用均不再收取。 3、包装和发运 1）</w:t>
              <w:tab/>
              <w:t>货物的包装和发运必须符合货物特性要求。 2）</w:t>
              <w:tab/>
              <w:t>为了保证货物在长途运输和装卸过程中的安全，货物包装应符合国家或行业标准规定。由于包装不善导致货物锈蚀、失缺或损坏，由投标人承担一切责任。 4、交货要求 1）</w:t>
              <w:tab/>
              <w:t>交货时间要求：合同签订后90个日历日内完成供货、安装、调试、交付使用。 2）</w:t>
              <w:tab/>
              <w:t>交货地点：用户指定地点。</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手术急救设备及器具</w:t>
            </w:r>
          </w:p>
        </w:tc>
        <w:tc>
          <w:tcPr>
            <w:tcW w:type="dxa" w:w="1923"/>
          </w:tcPr>
          <w:p>
            <w:r>
              <w:rPr/>
              <w:t>麻醉机</w:t>
            </w:r>
          </w:p>
        </w:tc>
        <w:tc>
          <w:tcPr>
            <w:tcW w:type="dxa" w:w="385"/>
          </w:tcPr>
          <w:p>
            <w:r>
              <w:rPr/>
              <w:t>套</w:t>
            </w:r>
          </w:p>
        </w:tc>
        <w:tc>
          <w:tcPr>
            <w:tcW w:type="dxa" w:w="769"/>
          </w:tcPr>
          <w:p>
            <w:pPr>
              <w:jc w:val="right"/>
            </w:pPr>
            <w:r>
              <w:rPr/>
              <w:t>2.0000</w:t>
            </w:r>
          </w:p>
        </w:tc>
        <w:tc>
          <w:tcPr>
            <w:tcW w:type="dxa" w:w="769"/>
          </w:tcPr>
          <w:p>
            <w:pPr>
              <w:jc w:val="right"/>
            </w:pPr>
            <w:r>
              <w:rPr/>
              <w:t>498,000.00</w:t>
            </w:r>
          </w:p>
        </w:tc>
        <w:tc>
          <w:tcPr>
            <w:tcW w:type="dxa" w:w="769"/>
          </w:tcPr>
          <w:p>
            <w:pPr>
              <w:jc w:val="right"/>
            </w:pPr>
            <w:r>
              <w:rPr/>
              <w:t>996,000.00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麻醉机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4"/>
              </w:rPr>
              <w:t>技术参数：</w:t>
            </w:r>
          </w:p>
          <w:p>
            <w:pPr>
              <w:jc w:val="both"/>
            </w:pPr>
            <w:r>
              <w:rPr>
                <w:color w:val="000000"/>
                <w:sz w:val="24"/>
              </w:rPr>
              <w:t>一、气源</w:t>
            </w:r>
          </w:p>
          <w:p>
            <w:pPr>
              <w:jc w:val="both"/>
            </w:pPr>
            <w:r>
              <w:rPr>
                <w:color w:val="000000"/>
                <w:sz w:val="24"/>
              </w:rPr>
              <w:t>1.1</w:t>
            </w:r>
            <w:r>
              <w:rPr>
                <w:color w:val="000000"/>
                <w:sz w:val="24"/>
              </w:rPr>
              <w:t>标配两气源，氧气、空气</w:t>
            </w:r>
          </w:p>
        </w:tc>
      </w:tr>
      <w:tr>
        <w:tc>
          <w:tcPr>
            <w:tcW w:type="dxa" w:w="2076"/>
          </w:tcPr>
          <w:p/>
        </w:tc>
        <w:tc>
          <w:tcPr>
            <w:tcW w:type="dxa" w:w="415"/>
          </w:tcPr>
          <w:p>
            <w:r>
              <w:rPr/>
              <w:t>2</w:t>
            </w:r>
          </w:p>
        </w:tc>
        <w:tc>
          <w:tcPr>
            <w:tcW w:type="dxa" w:w="5814"/>
          </w:tcPr>
          <w:p>
            <w:pPr>
              <w:jc w:val="both"/>
            </w:pPr>
            <w:r>
              <w:rPr>
                <w:color w:val="000000"/>
                <w:sz w:val="24"/>
              </w:rPr>
              <w:t>1.2</w:t>
            </w:r>
            <w:r>
              <w:rPr>
                <w:color w:val="000000"/>
                <w:sz w:val="24"/>
              </w:rPr>
              <w:t>氧气：低压安全保护装置，在供氧压低于</w:t>
            </w:r>
            <w:r>
              <w:rPr>
                <w:color w:val="000000"/>
                <w:sz w:val="24"/>
              </w:rPr>
              <w:t>200Kpa</w:t>
            </w:r>
            <w:r>
              <w:rPr>
                <w:color w:val="000000"/>
                <w:sz w:val="24"/>
              </w:rPr>
              <w:t>时报警</w:t>
            </w:r>
          </w:p>
        </w:tc>
      </w:tr>
      <w:tr>
        <w:tc>
          <w:tcPr>
            <w:tcW w:type="dxa" w:w="2076"/>
          </w:tcPr>
          <w:p/>
        </w:tc>
        <w:tc>
          <w:tcPr>
            <w:tcW w:type="dxa" w:w="415"/>
          </w:tcPr>
          <w:p>
            <w:r>
              <w:rPr/>
              <w:t>3</w:t>
            </w:r>
          </w:p>
        </w:tc>
        <w:tc>
          <w:tcPr>
            <w:tcW w:type="dxa" w:w="5814"/>
          </w:tcPr>
          <w:p>
            <w:pPr>
              <w:jc w:val="both"/>
            </w:pPr>
            <w:r>
              <w:rPr>
                <w:color w:val="000000"/>
                <w:sz w:val="24"/>
              </w:rPr>
              <w:t>1.3</w:t>
            </w:r>
            <w:r>
              <w:rPr>
                <w:color w:val="000000"/>
                <w:sz w:val="24"/>
              </w:rPr>
              <w:t>快速充氧范围</w:t>
            </w:r>
            <w:r>
              <w:rPr>
                <w:color w:val="000000"/>
                <w:sz w:val="24"/>
              </w:rPr>
              <w:t>25 - 75 L/min</w:t>
            </w:r>
          </w:p>
        </w:tc>
      </w:tr>
      <w:tr>
        <w:tc>
          <w:tcPr>
            <w:tcW w:type="dxa" w:w="2076"/>
          </w:tcPr>
          <w:p/>
        </w:tc>
        <w:tc>
          <w:tcPr>
            <w:tcW w:type="dxa" w:w="415"/>
          </w:tcPr>
          <w:p>
            <w:r>
              <w:rPr/>
              <w:t>4</w:t>
            </w:r>
          </w:p>
        </w:tc>
        <w:tc>
          <w:tcPr>
            <w:tcW w:type="dxa" w:w="5814"/>
          </w:tcPr>
          <w:p>
            <w:pPr>
              <w:jc w:val="both"/>
            </w:pPr>
            <w:r>
              <w:rPr>
                <w:color w:val="000000"/>
                <w:sz w:val="24"/>
              </w:rPr>
              <w:t>1.4</w:t>
            </w:r>
            <w:r>
              <w:rPr>
                <w:color w:val="000000"/>
                <w:sz w:val="24"/>
              </w:rPr>
              <w:t>可选</w:t>
            </w:r>
            <w:r>
              <w:rPr>
                <w:color w:val="000000"/>
                <w:sz w:val="24"/>
              </w:rPr>
              <w:t>ACGO</w:t>
            </w:r>
            <w:r>
              <w:rPr>
                <w:color w:val="000000"/>
                <w:sz w:val="24"/>
              </w:rPr>
              <w:t>，具有界面显示提示</w:t>
            </w:r>
          </w:p>
        </w:tc>
      </w:tr>
      <w:tr>
        <w:tc>
          <w:tcPr>
            <w:tcW w:type="dxa" w:w="2076"/>
          </w:tcPr>
          <w:p/>
        </w:tc>
        <w:tc>
          <w:tcPr>
            <w:tcW w:type="dxa" w:w="415"/>
          </w:tcPr>
          <w:p>
            <w:r>
              <w:rPr/>
              <w:t>5</w:t>
            </w:r>
          </w:p>
        </w:tc>
        <w:tc>
          <w:tcPr>
            <w:tcW w:type="dxa" w:w="5814"/>
          </w:tcPr>
          <w:p>
            <w:pPr>
              <w:jc w:val="both"/>
            </w:pPr>
            <w:r>
              <w:rPr>
                <w:color w:val="000000"/>
                <w:sz w:val="24"/>
              </w:rPr>
              <w:t>二、流量计</w:t>
            </w:r>
          </w:p>
          <w:p>
            <w:pPr>
              <w:jc w:val="both"/>
            </w:pPr>
            <w:r>
              <w:rPr>
                <w:color w:val="000000"/>
                <w:sz w:val="24"/>
              </w:rPr>
              <w:t>2.1</w:t>
            </w:r>
            <w:r>
              <w:rPr>
                <w:color w:val="000000"/>
                <w:sz w:val="24"/>
              </w:rPr>
              <w:t>电控流量计，屏幕虚拟流量管显示</w:t>
            </w:r>
          </w:p>
        </w:tc>
      </w:tr>
      <w:tr>
        <w:tc>
          <w:tcPr>
            <w:tcW w:type="dxa" w:w="2076"/>
          </w:tcPr>
          <w:p/>
        </w:tc>
        <w:tc>
          <w:tcPr>
            <w:tcW w:type="dxa" w:w="415"/>
          </w:tcPr>
          <w:p>
            <w:r>
              <w:rPr/>
              <w:t>6</w:t>
            </w:r>
          </w:p>
        </w:tc>
        <w:tc>
          <w:tcPr>
            <w:tcW w:type="dxa" w:w="5814"/>
          </w:tcPr>
          <w:p>
            <w:pPr>
              <w:jc w:val="both"/>
            </w:pPr>
            <w:r>
              <w:rPr>
                <w:color w:val="000000"/>
                <w:sz w:val="24"/>
              </w:rPr>
              <w:t>2.2</w:t>
            </w:r>
            <w:r>
              <w:rPr>
                <w:color w:val="000000"/>
                <w:sz w:val="24"/>
              </w:rPr>
              <w:t>二氧化碳气：</w:t>
            </w:r>
            <w:r>
              <w:rPr>
                <w:color w:val="000000"/>
                <w:sz w:val="24"/>
              </w:rPr>
              <w:t>0 -10L/min</w:t>
            </w:r>
            <w:r>
              <w:rPr>
                <w:color w:val="000000"/>
                <w:sz w:val="24"/>
              </w:rPr>
              <w:t>；氧浓度：</w:t>
            </w:r>
            <w:r>
              <w:rPr>
                <w:color w:val="000000"/>
                <w:sz w:val="24"/>
              </w:rPr>
              <w:t>0-12L/min</w:t>
            </w:r>
          </w:p>
        </w:tc>
      </w:tr>
      <w:tr>
        <w:tc>
          <w:tcPr>
            <w:tcW w:type="dxa" w:w="2076"/>
          </w:tcPr>
          <w:p/>
        </w:tc>
        <w:tc>
          <w:tcPr>
            <w:tcW w:type="dxa" w:w="415"/>
          </w:tcPr>
          <w:p>
            <w:r>
              <w:rPr/>
              <w:t>7</w:t>
            </w:r>
          </w:p>
        </w:tc>
        <w:tc>
          <w:tcPr>
            <w:tcW w:type="dxa" w:w="5814"/>
          </w:tcPr>
          <w:p>
            <w:pPr>
              <w:jc w:val="both"/>
            </w:pPr>
            <w:r>
              <w:rPr>
                <w:color w:val="000000"/>
                <w:sz w:val="24"/>
              </w:rPr>
              <w:t>2.3</w:t>
            </w:r>
            <w:r>
              <w:rPr>
                <w:color w:val="000000"/>
                <w:sz w:val="24"/>
              </w:rPr>
              <w:t>具备总流量管</w:t>
            </w:r>
          </w:p>
        </w:tc>
      </w:tr>
      <w:tr>
        <w:tc>
          <w:tcPr>
            <w:tcW w:type="dxa" w:w="2076"/>
          </w:tcPr>
          <w:p>
            <w:r>
              <w:rPr/>
              <w:t>▲</w:t>
            </w:r>
          </w:p>
        </w:tc>
        <w:tc>
          <w:tcPr>
            <w:tcW w:type="dxa" w:w="415"/>
          </w:tcPr>
          <w:p>
            <w:r>
              <w:rPr/>
              <w:t>8</w:t>
            </w:r>
          </w:p>
        </w:tc>
        <w:tc>
          <w:tcPr>
            <w:tcW w:type="dxa" w:w="5814"/>
          </w:tcPr>
          <w:p>
            <w:pPr>
              <w:jc w:val="both"/>
            </w:pPr>
            <w:r>
              <w:rPr>
                <w:color w:val="000000"/>
                <w:sz w:val="24"/>
              </w:rPr>
              <w:t>三、呼吸回路</w:t>
            </w:r>
          </w:p>
          <w:p>
            <w:pPr>
              <w:jc w:val="both"/>
            </w:pPr>
            <w:r>
              <w:rPr>
                <w:color w:val="000000"/>
                <w:sz w:val="24"/>
              </w:rPr>
              <w:t>3.1</w:t>
            </w:r>
            <w:r>
              <w:rPr>
                <w:color w:val="000000"/>
                <w:sz w:val="24"/>
              </w:rPr>
              <w:t>金属材质紧凑式呼吸回路设计，具备恒温功能</w:t>
            </w:r>
            <w:r>
              <w:rPr>
                <w:color w:val="000000"/>
                <w:sz w:val="24"/>
              </w:rPr>
              <w:t>,</w:t>
            </w:r>
            <w:r>
              <w:rPr>
                <w:color w:val="000000"/>
                <w:sz w:val="24"/>
              </w:rPr>
              <w:t>回路无积水不需要冷凝收集装置，保证通气安全，保证平时使用无需单独维护</w:t>
            </w:r>
          </w:p>
        </w:tc>
      </w:tr>
      <w:tr>
        <w:tc>
          <w:tcPr>
            <w:tcW w:type="dxa" w:w="2076"/>
          </w:tcPr>
          <w:p/>
        </w:tc>
        <w:tc>
          <w:tcPr>
            <w:tcW w:type="dxa" w:w="415"/>
          </w:tcPr>
          <w:p>
            <w:r>
              <w:rPr/>
              <w:t>9</w:t>
            </w:r>
          </w:p>
        </w:tc>
        <w:tc>
          <w:tcPr>
            <w:tcW w:type="dxa" w:w="5814"/>
          </w:tcPr>
          <w:p>
            <w:pPr>
              <w:jc w:val="both"/>
            </w:pPr>
            <w:r>
              <w:rPr>
                <w:color w:val="000000"/>
                <w:sz w:val="24"/>
              </w:rPr>
              <w:t xml:space="preserve">3.2  </w:t>
            </w:r>
            <w:r>
              <w:rPr>
                <w:color w:val="000000"/>
                <w:sz w:val="24"/>
              </w:rPr>
              <w:t>整体回路可以反复耐</w:t>
            </w:r>
            <w:r>
              <w:rPr>
                <w:color w:val="000000"/>
                <w:sz w:val="24"/>
              </w:rPr>
              <w:t>134</w:t>
            </w:r>
            <w:r>
              <w:rPr>
                <w:color w:val="000000"/>
                <w:sz w:val="24"/>
              </w:rPr>
              <w:t>度高温高压灭菌</w:t>
            </w:r>
          </w:p>
        </w:tc>
      </w:tr>
      <w:tr>
        <w:tc>
          <w:tcPr>
            <w:tcW w:type="dxa" w:w="2076"/>
          </w:tcPr>
          <w:p>
            <w:r>
              <w:rPr/>
              <w:t>▲</w:t>
            </w:r>
          </w:p>
        </w:tc>
        <w:tc>
          <w:tcPr>
            <w:tcW w:type="dxa" w:w="415"/>
          </w:tcPr>
          <w:p>
            <w:r>
              <w:rPr/>
              <w:t>10</w:t>
            </w:r>
          </w:p>
        </w:tc>
        <w:tc>
          <w:tcPr>
            <w:tcW w:type="dxa" w:w="5814"/>
          </w:tcPr>
          <w:p>
            <w:pPr>
              <w:jc w:val="both"/>
            </w:pPr>
            <w:r>
              <w:rPr>
                <w:color w:val="000000"/>
                <w:sz w:val="24"/>
              </w:rPr>
              <w:t>3.3APL</w:t>
            </w:r>
            <w:r>
              <w:rPr>
                <w:color w:val="000000"/>
                <w:sz w:val="24"/>
              </w:rPr>
              <w:t>阀金属材质，具备不对称压力刻度显示（</w:t>
            </w:r>
            <w:r>
              <w:rPr>
                <w:color w:val="000000"/>
                <w:sz w:val="24"/>
              </w:rPr>
              <w:t>0-70cmH2O)</w:t>
            </w:r>
            <w:r>
              <w:rPr>
                <w:color w:val="000000"/>
                <w:sz w:val="24"/>
              </w:rPr>
              <w:t>，</w:t>
            </w:r>
            <w:r>
              <w:rPr>
                <w:color w:val="000000"/>
                <w:sz w:val="24"/>
              </w:rPr>
              <w:t>APL</w:t>
            </w:r>
            <w:r>
              <w:rPr>
                <w:color w:val="000000"/>
                <w:sz w:val="24"/>
              </w:rPr>
              <w:t>阀上带有压力刻度显示（且</w:t>
            </w:r>
            <w:r>
              <w:rPr>
                <w:color w:val="000000"/>
                <w:sz w:val="24"/>
              </w:rPr>
              <w:t>30cmH2O</w:t>
            </w:r>
            <w:r>
              <w:rPr>
                <w:color w:val="000000"/>
                <w:sz w:val="24"/>
              </w:rPr>
              <w:t>以下压力刻度为</w:t>
            </w:r>
            <w:r>
              <w:rPr>
                <w:color w:val="000000"/>
                <w:sz w:val="24"/>
              </w:rPr>
              <w:t>5cmH2O/10cmH2O/20cmH2O/30cmH2O</w:t>
            </w:r>
            <w:r>
              <w:rPr>
                <w:color w:val="000000"/>
                <w:sz w:val="24"/>
              </w:rPr>
              <w:t>）至少</w:t>
            </w:r>
            <w:r>
              <w:rPr>
                <w:color w:val="000000"/>
                <w:sz w:val="24"/>
              </w:rPr>
              <w:t>6</w:t>
            </w:r>
            <w:r>
              <w:rPr>
                <w:color w:val="000000"/>
                <w:sz w:val="24"/>
              </w:rPr>
              <w:t>档精确调节，具备快排功能，无需反复设定刻度即可实现</w:t>
            </w:r>
          </w:p>
        </w:tc>
      </w:tr>
      <w:tr>
        <w:tc>
          <w:tcPr>
            <w:tcW w:type="dxa" w:w="2076"/>
          </w:tcPr>
          <w:p/>
        </w:tc>
        <w:tc>
          <w:tcPr>
            <w:tcW w:type="dxa" w:w="415"/>
          </w:tcPr>
          <w:p>
            <w:r>
              <w:rPr/>
              <w:t>11</w:t>
            </w:r>
          </w:p>
        </w:tc>
        <w:tc>
          <w:tcPr>
            <w:tcW w:type="dxa" w:w="5814"/>
          </w:tcPr>
          <w:p>
            <w:pPr>
              <w:jc w:val="both"/>
            </w:pPr>
            <w:r>
              <w:rPr>
                <w:color w:val="000000"/>
                <w:sz w:val="24"/>
              </w:rPr>
              <w:t>3.4</w:t>
            </w:r>
            <w:r>
              <w:rPr>
                <w:color w:val="000000"/>
                <w:sz w:val="24"/>
              </w:rPr>
              <w:t>二氧化碳吸收罐容积</w:t>
            </w:r>
            <w:r>
              <w:rPr>
                <w:color w:val="000000"/>
                <w:sz w:val="24"/>
              </w:rPr>
              <w:t>1.5</w:t>
            </w:r>
            <w:r>
              <w:rPr>
                <w:color w:val="000000"/>
                <w:sz w:val="24"/>
              </w:rPr>
              <w:t>升，拆卸简单方便</w:t>
            </w:r>
          </w:p>
        </w:tc>
      </w:tr>
      <w:tr>
        <w:tc>
          <w:tcPr>
            <w:tcW w:type="dxa" w:w="2076"/>
          </w:tcPr>
          <w:p/>
        </w:tc>
        <w:tc>
          <w:tcPr>
            <w:tcW w:type="dxa" w:w="415"/>
          </w:tcPr>
          <w:p>
            <w:r>
              <w:rPr/>
              <w:t>12</w:t>
            </w:r>
          </w:p>
        </w:tc>
        <w:tc>
          <w:tcPr>
            <w:tcW w:type="dxa" w:w="5814"/>
          </w:tcPr>
          <w:p>
            <w:pPr>
              <w:jc w:val="both"/>
            </w:pPr>
            <w:r>
              <w:rPr>
                <w:color w:val="000000"/>
                <w:sz w:val="24"/>
              </w:rPr>
              <w:t>3.5</w:t>
            </w:r>
            <w:r>
              <w:rPr>
                <w:color w:val="000000"/>
                <w:sz w:val="24"/>
              </w:rPr>
              <w:t>可选配</w:t>
            </w:r>
            <w:r>
              <w:rPr>
                <w:color w:val="000000"/>
                <w:sz w:val="24"/>
              </w:rPr>
              <w:t>CO2</w:t>
            </w:r>
            <w:r>
              <w:rPr>
                <w:color w:val="000000"/>
                <w:sz w:val="24"/>
              </w:rPr>
              <w:t>旁路功能，支持术中更换钠石灰</w:t>
            </w:r>
          </w:p>
        </w:tc>
      </w:tr>
      <w:tr>
        <w:tc>
          <w:tcPr>
            <w:tcW w:type="dxa" w:w="2076"/>
          </w:tcPr>
          <w:p/>
        </w:tc>
        <w:tc>
          <w:tcPr>
            <w:tcW w:type="dxa" w:w="415"/>
          </w:tcPr>
          <w:p>
            <w:r>
              <w:rPr/>
              <w:t>13</w:t>
            </w:r>
          </w:p>
        </w:tc>
        <w:tc>
          <w:tcPr>
            <w:tcW w:type="dxa" w:w="5814"/>
          </w:tcPr>
          <w:p>
            <w:pPr>
              <w:jc w:val="both"/>
            </w:pPr>
            <w:r>
              <w:rPr>
                <w:color w:val="000000"/>
                <w:sz w:val="24"/>
              </w:rPr>
              <w:t>3.6</w:t>
            </w:r>
            <w:r>
              <w:rPr>
                <w:color w:val="000000"/>
                <w:sz w:val="24"/>
              </w:rPr>
              <w:t>上升式风箱，小儿麻醉不用更换风箱</w:t>
            </w:r>
          </w:p>
        </w:tc>
      </w:tr>
      <w:tr>
        <w:tc>
          <w:tcPr>
            <w:tcW w:type="dxa" w:w="2076"/>
          </w:tcPr>
          <w:p/>
        </w:tc>
        <w:tc>
          <w:tcPr>
            <w:tcW w:type="dxa" w:w="415"/>
          </w:tcPr>
          <w:p>
            <w:r>
              <w:rPr/>
              <w:t>14</w:t>
            </w:r>
          </w:p>
        </w:tc>
        <w:tc>
          <w:tcPr>
            <w:tcW w:type="dxa" w:w="5814"/>
          </w:tcPr>
          <w:p>
            <w:pPr>
              <w:jc w:val="both"/>
            </w:pPr>
            <w:r>
              <w:rPr>
                <w:color w:val="000000"/>
                <w:sz w:val="24"/>
              </w:rPr>
              <w:t>四、技术要求</w:t>
            </w:r>
          </w:p>
          <w:p>
            <w:pPr>
              <w:jc w:val="both"/>
            </w:pPr>
            <w:r>
              <w:rPr>
                <w:color w:val="000000"/>
                <w:sz w:val="24"/>
              </w:rPr>
              <w:t>4.1</w:t>
            </w:r>
            <w:r>
              <w:rPr>
                <w:color w:val="000000"/>
                <w:sz w:val="24"/>
              </w:rPr>
              <w:t>气动电控呼吸机</w:t>
            </w:r>
          </w:p>
        </w:tc>
      </w:tr>
      <w:tr>
        <w:tc>
          <w:tcPr>
            <w:tcW w:type="dxa" w:w="2076"/>
          </w:tcPr>
          <w:p>
            <w:r>
              <w:rPr/>
              <w:t>▲</w:t>
            </w:r>
          </w:p>
        </w:tc>
        <w:tc>
          <w:tcPr>
            <w:tcW w:type="dxa" w:w="415"/>
          </w:tcPr>
          <w:p>
            <w:r>
              <w:rPr/>
              <w:t>15</w:t>
            </w:r>
          </w:p>
        </w:tc>
        <w:tc>
          <w:tcPr>
            <w:tcW w:type="dxa" w:w="5814"/>
          </w:tcPr>
          <w:p>
            <w:pPr>
              <w:jc w:val="both"/>
            </w:pPr>
            <w:r>
              <w:rPr>
                <w:color w:val="000000"/>
                <w:sz w:val="24"/>
              </w:rPr>
              <w:t>4.2</w:t>
            </w:r>
            <w:r>
              <w:rPr>
                <w:color w:val="000000"/>
                <w:sz w:val="24"/>
              </w:rPr>
              <w:t>外置悬挂彩色触摸屏不小于</w:t>
            </w:r>
            <w:r>
              <w:rPr>
                <w:color w:val="000000"/>
                <w:sz w:val="24"/>
              </w:rPr>
              <w:t>15</w:t>
            </w:r>
            <w:r>
              <w:rPr>
                <w:color w:val="000000"/>
                <w:sz w:val="24"/>
              </w:rPr>
              <w:t>寸，具有触摸屏和旋钮双重操作保障，屏幕可调俯仰角度，方便观察。</w:t>
            </w:r>
          </w:p>
        </w:tc>
      </w:tr>
      <w:tr>
        <w:tc>
          <w:tcPr>
            <w:tcW w:type="dxa" w:w="2076"/>
          </w:tcPr>
          <w:p>
            <w:r>
              <w:rPr/>
              <w:t>▲</w:t>
            </w:r>
          </w:p>
        </w:tc>
        <w:tc>
          <w:tcPr>
            <w:tcW w:type="dxa" w:w="415"/>
          </w:tcPr>
          <w:p>
            <w:r>
              <w:rPr/>
              <w:t>16</w:t>
            </w:r>
          </w:p>
        </w:tc>
        <w:tc>
          <w:tcPr>
            <w:tcW w:type="dxa" w:w="5814"/>
          </w:tcPr>
          <w:p>
            <w:pPr>
              <w:jc w:val="both"/>
            </w:pPr>
            <w:r>
              <w:rPr>
                <w:color w:val="000000"/>
                <w:sz w:val="24"/>
              </w:rPr>
              <w:t>4.3</w:t>
            </w:r>
            <w:r>
              <w:rPr>
                <w:color w:val="000000"/>
                <w:sz w:val="24"/>
              </w:rPr>
              <w:t>标配通气模式：</w:t>
            </w:r>
            <w:r>
              <w:rPr>
                <w:color w:val="000000"/>
                <w:sz w:val="24"/>
              </w:rPr>
              <w:t>IPPV</w:t>
            </w:r>
            <w:r>
              <w:rPr>
                <w:color w:val="000000"/>
                <w:sz w:val="24"/>
              </w:rPr>
              <w:t>、</w:t>
            </w:r>
            <w:r>
              <w:rPr>
                <w:color w:val="000000"/>
                <w:sz w:val="24"/>
              </w:rPr>
              <w:t>PCV</w:t>
            </w:r>
            <w:r>
              <w:rPr>
                <w:color w:val="000000"/>
                <w:sz w:val="24"/>
              </w:rPr>
              <w:t>、</w:t>
            </w:r>
            <w:r>
              <w:rPr>
                <w:color w:val="000000"/>
                <w:sz w:val="24"/>
              </w:rPr>
              <w:t>SIMV-VC</w:t>
            </w:r>
            <w:r>
              <w:rPr>
                <w:color w:val="000000"/>
                <w:sz w:val="24"/>
              </w:rPr>
              <w:t>、</w:t>
            </w:r>
            <w:r>
              <w:rPr>
                <w:color w:val="000000"/>
                <w:sz w:val="24"/>
              </w:rPr>
              <w:t>SIMV-PC</w:t>
            </w:r>
            <w:r>
              <w:rPr>
                <w:color w:val="000000"/>
                <w:sz w:val="24"/>
              </w:rPr>
              <w:t>、</w:t>
            </w:r>
            <w:r>
              <w:rPr>
                <w:color w:val="000000"/>
                <w:sz w:val="24"/>
              </w:rPr>
              <w:t>PS/CPAP</w:t>
            </w:r>
            <w:r>
              <w:rPr>
                <w:color w:val="000000"/>
                <w:sz w:val="24"/>
              </w:rPr>
              <w:t>、</w:t>
            </w:r>
            <w:r>
              <w:rPr>
                <w:color w:val="000000"/>
                <w:sz w:val="24"/>
              </w:rPr>
              <w:t>PCV-VG</w:t>
            </w:r>
            <w:r>
              <w:rPr>
                <w:color w:val="000000"/>
                <w:sz w:val="24"/>
              </w:rPr>
              <w:t>、</w:t>
            </w:r>
            <w:r>
              <w:rPr>
                <w:color w:val="000000"/>
                <w:sz w:val="24"/>
              </w:rPr>
              <w:t>SIMV-VG</w:t>
            </w:r>
            <w:r>
              <w:rPr>
                <w:color w:val="000000"/>
                <w:sz w:val="24"/>
              </w:rPr>
              <w:t>、</w:t>
            </w:r>
            <w:r>
              <w:rPr>
                <w:color w:val="000000"/>
                <w:sz w:val="24"/>
              </w:rPr>
              <w:t>BIVENT</w:t>
            </w:r>
            <w:r>
              <w:rPr>
                <w:color w:val="000000"/>
                <w:sz w:val="24"/>
              </w:rPr>
              <w:t>、</w:t>
            </w:r>
            <w:r>
              <w:rPr>
                <w:color w:val="000000"/>
                <w:sz w:val="24"/>
              </w:rPr>
              <w:t>APRV</w:t>
            </w:r>
            <w:r>
              <w:rPr>
                <w:color w:val="000000"/>
                <w:sz w:val="24"/>
              </w:rPr>
              <w:t>、</w:t>
            </w:r>
            <w:r>
              <w:rPr>
                <w:color w:val="000000"/>
                <w:sz w:val="24"/>
              </w:rPr>
              <w:t>Manual</w:t>
            </w:r>
          </w:p>
        </w:tc>
      </w:tr>
      <w:tr>
        <w:tc>
          <w:tcPr>
            <w:tcW w:type="dxa" w:w="2076"/>
          </w:tcPr>
          <w:p/>
        </w:tc>
        <w:tc>
          <w:tcPr>
            <w:tcW w:type="dxa" w:w="415"/>
          </w:tcPr>
          <w:p>
            <w:r>
              <w:rPr/>
              <w:t>17</w:t>
            </w:r>
          </w:p>
        </w:tc>
        <w:tc>
          <w:tcPr>
            <w:tcW w:type="dxa" w:w="5814"/>
          </w:tcPr>
          <w:p>
            <w:pPr>
              <w:jc w:val="both"/>
            </w:pPr>
            <w:r>
              <w:rPr>
                <w:color w:val="000000"/>
                <w:sz w:val="24"/>
              </w:rPr>
              <w:t>4.4</w:t>
            </w:r>
            <w:r>
              <w:rPr>
                <w:color w:val="000000"/>
                <w:sz w:val="24"/>
              </w:rPr>
              <w:t>支持窒息通气保护</w:t>
            </w:r>
          </w:p>
        </w:tc>
      </w:tr>
      <w:tr>
        <w:tc>
          <w:tcPr>
            <w:tcW w:type="dxa" w:w="2076"/>
          </w:tcPr>
          <w:p>
            <w:r>
              <w:rPr/>
              <w:t>▲</w:t>
            </w:r>
          </w:p>
        </w:tc>
        <w:tc>
          <w:tcPr>
            <w:tcW w:type="dxa" w:w="415"/>
          </w:tcPr>
          <w:p>
            <w:r>
              <w:rPr/>
              <w:t>18</w:t>
            </w:r>
          </w:p>
        </w:tc>
        <w:tc>
          <w:tcPr>
            <w:tcW w:type="dxa" w:w="5814"/>
          </w:tcPr>
          <w:p>
            <w:pPr>
              <w:jc w:val="both"/>
            </w:pPr>
            <w:r>
              <w:rPr>
                <w:color w:val="000000"/>
                <w:sz w:val="24"/>
              </w:rPr>
              <w:t>4.5</w:t>
            </w:r>
            <w:r>
              <w:rPr>
                <w:color w:val="000000"/>
                <w:sz w:val="24"/>
              </w:rPr>
              <w:t>容量模式下潮气量设置：</w:t>
            </w:r>
            <w:r>
              <w:rPr>
                <w:color w:val="000000"/>
                <w:sz w:val="24"/>
              </w:rPr>
              <w:t>10ml-1500ml</w:t>
            </w:r>
            <w:r>
              <w:rPr>
                <w:color w:val="000000"/>
                <w:sz w:val="24"/>
              </w:rPr>
              <w:t>，满足婴幼儿麻醉手术。</w:t>
            </w:r>
          </w:p>
        </w:tc>
      </w:tr>
      <w:tr>
        <w:tc>
          <w:tcPr>
            <w:tcW w:type="dxa" w:w="2076"/>
          </w:tcPr>
          <w:p/>
        </w:tc>
        <w:tc>
          <w:tcPr>
            <w:tcW w:type="dxa" w:w="415"/>
          </w:tcPr>
          <w:p>
            <w:r>
              <w:rPr/>
              <w:t>19</w:t>
            </w:r>
          </w:p>
        </w:tc>
        <w:tc>
          <w:tcPr>
            <w:tcW w:type="dxa" w:w="5814"/>
          </w:tcPr>
          <w:p>
            <w:pPr>
              <w:jc w:val="both"/>
            </w:pPr>
            <w:r>
              <w:rPr>
                <w:color w:val="000000"/>
                <w:sz w:val="24"/>
              </w:rPr>
              <w:t>4.6</w:t>
            </w:r>
            <w:r>
              <w:rPr>
                <w:color w:val="000000"/>
                <w:sz w:val="24"/>
              </w:rPr>
              <w:t>呼吸频率：</w:t>
            </w:r>
            <w:r>
              <w:rPr>
                <w:color w:val="000000"/>
                <w:sz w:val="24"/>
              </w:rPr>
              <w:t>4-100</w:t>
            </w:r>
            <w:r>
              <w:rPr>
                <w:color w:val="000000"/>
                <w:sz w:val="24"/>
              </w:rPr>
              <w:t>次</w:t>
            </w:r>
            <w:r>
              <w:rPr>
                <w:color w:val="000000"/>
                <w:sz w:val="24"/>
              </w:rPr>
              <w:t>/</w:t>
            </w:r>
            <w:r>
              <w:rPr>
                <w:color w:val="000000"/>
                <w:sz w:val="24"/>
              </w:rPr>
              <w:t>分钟</w:t>
            </w:r>
          </w:p>
        </w:tc>
      </w:tr>
      <w:tr>
        <w:tc>
          <w:tcPr>
            <w:tcW w:type="dxa" w:w="2076"/>
          </w:tcPr>
          <w:p/>
        </w:tc>
        <w:tc>
          <w:tcPr>
            <w:tcW w:type="dxa" w:w="415"/>
          </w:tcPr>
          <w:p>
            <w:r>
              <w:rPr/>
              <w:t>20</w:t>
            </w:r>
          </w:p>
        </w:tc>
        <w:tc>
          <w:tcPr>
            <w:tcW w:type="dxa" w:w="5814"/>
          </w:tcPr>
          <w:p>
            <w:pPr>
              <w:jc w:val="both"/>
            </w:pPr>
            <w:r>
              <w:rPr>
                <w:color w:val="000000"/>
                <w:sz w:val="24"/>
              </w:rPr>
              <w:t>4.7</w:t>
            </w:r>
            <w:r>
              <w:rPr>
                <w:color w:val="000000"/>
                <w:sz w:val="24"/>
              </w:rPr>
              <w:t>吸呼比：</w:t>
            </w:r>
            <w:r>
              <w:rPr>
                <w:color w:val="000000"/>
                <w:sz w:val="24"/>
              </w:rPr>
              <w:t>4:1</w:t>
            </w:r>
            <w:r>
              <w:rPr>
                <w:color w:val="000000"/>
                <w:sz w:val="24"/>
              </w:rPr>
              <w:t>到</w:t>
            </w:r>
            <w:r>
              <w:rPr>
                <w:color w:val="000000"/>
                <w:sz w:val="24"/>
              </w:rPr>
              <w:t>1:8</w:t>
            </w:r>
          </w:p>
        </w:tc>
      </w:tr>
      <w:tr>
        <w:tc>
          <w:tcPr>
            <w:tcW w:type="dxa" w:w="2076"/>
          </w:tcPr>
          <w:p/>
        </w:tc>
        <w:tc>
          <w:tcPr>
            <w:tcW w:type="dxa" w:w="415"/>
          </w:tcPr>
          <w:p>
            <w:r>
              <w:rPr/>
              <w:t>21</w:t>
            </w:r>
          </w:p>
        </w:tc>
        <w:tc>
          <w:tcPr>
            <w:tcW w:type="dxa" w:w="5814"/>
          </w:tcPr>
          <w:p>
            <w:pPr>
              <w:jc w:val="both"/>
            </w:pPr>
            <w:r>
              <w:rPr>
                <w:color w:val="000000"/>
                <w:sz w:val="24"/>
              </w:rPr>
              <w:t>4.8</w:t>
            </w:r>
            <w:r>
              <w:rPr>
                <w:color w:val="000000"/>
                <w:sz w:val="24"/>
              </w:rPr>
              <w:t>压力范围（压力模式）：</w:t>
            </w:r>
            <w:r>
              <w:rPr>
                <w:color w:val="000000"/>
                <w:sz w:val="24"/>
              </w:rPr>
              <w:t>5</w:t>
            </w:r>
            <w:r>
              <w:rPr>
                <w:color w:val="000000"/>
                <w:sz w:val="24"/>
              </w:rPr>
              <w:t>到</w:t>
            </w:r>
            <w:r>
              <w:rPr>
                <w:color w:val="000000"/>
                <w:sz w:val="24"/>
              </w:rPr>
              <w:t>70 cmH2O</w:t>
            </w:r>
          </w:p>
        </w:tc>
      </w:tr>
      <w:tr>
        <w:tc>
          <w:tcPr>
            <w:tcW w:type="dxa" w:w="2076"/>
          </w:tcPr>
          <w:p/>
        </w:tc>
        <w:tc>
          <w:tcPr>
            <w:tcW w:type="dxa" w:w="415"/>
          </w:tcPr>
          <w:p>
            <w:r>
              <w:rPr/>
              <w:t>22</w:t>
            </w:r>
          </w:p>
        </w:tc>
        <w:tc>
          <w:tcPr>
            <w:tcW w:type="dxa" w:w="5814"/>
          </w:tcPr>
          <w:p>
            <w:pPr>
              <w:jc w:val="both"/>
            </w:pPr>
            <w:r>
              <w:rPr>
                <w:color w:val="000000"/>
                <w:sz w:val="24"/>
              </w:rPr>
              <w:t>4.9</w:t>
            </w:r>
            <w:r>
              <w:rPr>
                <w:color w:val="000000"/>
                <w:sz w:val="24"/>
              </w:rPr>
              <w:t>电子</w:t>
            </w:r>
            <w:r>
              <w:rPr>
                <w:color w:val="000000"/>
                <w:sz w:val="24"/>
              </w:rPr>
              <w:t>PEEP</w:t>
            </w:r>
            <w:r>
              <w:rPr>
                <w:color w:val="000000"/>
                <w:sz w:val="24"/>
              </w:rPr>
              <w:t>：</w:t>
            </w:r>
            <w:r>
              <w:rPr>
                <w:color w:val="000000"/>
                <w:sz w:val="24"/>
              </w:rPr>
              <w:t>OFF</w:t>
            </w:r>
            <w:r>
              <w:rPr>
                <w:color w:val="000000"/>
                <w:sz w:val="24"/>
              </w:rPr>
              <w:t>，</w:t>
            </w:r>
            <w:r>
              <w:rPr>
                <w:color w:val="000000"/>
                <w:sz w:val="24"/>
              </w:rPr>
              <w:t>3</w:t>
            </w:r>
            <w:r>
              <w:rPr>
                <w:color w:val="000000"/>
                <w:sz w:val="24"/>
              </w:rPr>
              <w:t>到</w:t>
            </w:r>
            <w:r>
              <w:rPr>
                <w:color w:val="000000"/>
                <w:sz w:val="24"/>
              </w:rPr>
              <w:t>50 cmH2O</w:t>
            </w:r>
          </w:p>
        </w:tc>
      </w:tr>
      <w:tr>
        <w:tc>
          <w:tcPr>
            <w:tcW w:type="dxa" w:w="2076"/>
          </w:tcPr>
          <w:p/>
        </w:tc>
        <w:tc>
          <w:tcPr>
            <w:tcW w:type="dxa" w:w="415"/>
          </w:tcPr>
          <w:p>
            <w:r>
              <w:rPr/>
              <w:t>23</w:t>
            </w:r>
          </w:p>
        </w:tc>
        <w:tc>
          <w:tcPr>
            <w:tcW w:type="dxa" w:w="5814"/>
          </w:tcPr>
          <w:p>
            <w:pPr>
              <w:jc w:val="both"/>
            </w:pPr>
            <w:r>
              <w:rPr>
                <w:color w:val="000000"/>
                <w:sz w:val="24"/>
              </w:rPr>
              <w:t>4.10</w:t>
            </w:r>
            <w:r>
              <w:rPr>
                <w:color w:val="000000"/>
                <w:sz w:val="24"/>
              </w:rPr>
              <w:t>在</w:t>
            </w:r>
            <w:r>
              <w:rPr>
                <w:color w:val="000000"/>
                <w:sz w:val="24"/>
              </w:rPr>
              <w:t>PCV</w:t>
            </w:r>
            <w:r>
              <w:rPr>
                <w:color w:val="000000"/>
                <w:sz w:val="24"/>
              </w:rPr>
              <w:t>、</w:t>
            </w:r>
            <w:r>
              <w:rPr>
                <w:color w:val="000000"/>
                <w:sz w:val="24"/>
              </w:rPr>
              <w:t>SIMV</w:t>
            </w:r>
            <w:r>
              <w:rPr>
                <w:color w:val="000000"/>
                <w:sz w:val="24"/>
              </w:rPr>
              <w:t>、</w:t>
            </w:r>
            <w:r>
              <w:rPr>
                <w:color w:val="000000"/>
                <w:sz w:val="24"/>
              </w:rPr>
              <w:t>PS</w:t>
            </w:r>
            <w:r>
              <w:rPr>
                <w:color w:val="000000"/>
                <w:sz w:val="24"/>
              </w:rPr>
              <w:t>模式下具备压力上升时间参数（</w:t>
            </w:r>
            <w:r>
              <w:rPr>
                <w:color w:val="000000"/>
                <w:sz w:val="24"/>
              </w:rPr>
              <w:t>TSLOPE)</w:t>
            </w:r>
            <w:r>
              <w:rPr>
                <w:color w:val="000000"/>
                <w:sz w:val="24"/>
              </w:rPr>
              <w:t>：</w:t>
            </w:r>
            <w:r>
              <w:rPr>
                <w:color w:val="000000"/>
                <w:sz w:val="24"/>
              </w:rPr>
              <w:t>0-2S</w:t>
            </w:r>
          </w:p>
        </w:tc>
      </w:tr>
      <w:tr>
        <w:tc>
          <w:tcPr>
            <w:tcW w:type="dxa" w:w="2076"/>
          </w:tcPr>
          <w:p/>
        </w:tc>
        <w:tc>
          <w:tcPr>
            <w:tcW w:type="dxa" w:w="415"/>
          </w:tcPr>
          <w:p>
            <w:r>
              <w:rPr/>
              <w:t>24</w:t>
            </w:r>
          </w:p>
        </w:tc>
        <w:tc>
          <w:tcPr>
            <w:tcW w:type="dxa" w:w="5814"/>
          </w:tcPr>
          <w:p>
            <w:pPr>
              <w:jc w:val="both"/>
            </w:pPr>
            <w:r>
              <w:rPr>
                <w:color w:val="000000"/>
                <w:sz w:val="24"/>
              </w:rPr>
              <w:t>4.1</w:t>
            </w:r>
            <w:r>
              <w:rPr>
                <w:color w:val="000000"/>
                <w:sz w:val="24"/>
              </w:rPr>
              <w:t>1</w:t>
            </w:r>
            <w:r>
              <w:rPr>
                <w:sz w:val="21"/>
              </w:rPr>
              <w:t xml:space="preserve"> </w:t>
            </w:r>
            <w:r>
              <w:rPr>
                <w:color w:val="000000"/>
                <w:sz w:val="24"/>
              </w:rPr>
              <w:t>具有患者信息预设记录功能</w:t>
            </w:r>
          </w:p>
        </w:tc>
      </w:tr>
      <w:tr>
        <w:tc>
          <w:tcPr>
            <w:tcW w:type="dxa" w:w="2076"/>
          </w:tcPr>
          <w:p>
            <w:r>
              <w:rPr/>
              <w:t>▲</w:t>
            </w:r>
          </w:p>
        </w:tc>
        <w:tc>
          <w:tcPr>
            <w:tcW w:type="dxa" w:w="415"/>
          </w:tcPr>
          <w:p>
            <w:r>
              <w:rPr/>
              <w:t>25</w:t>
            </w:r>
          </w:p>
        </w:tc>
        <w:tc>
          <w:tcPr>
            <w:tcW w:type="dxa" w:w="5814"/>
          </w:tcPr>
          <w:p>
            <w:pPr>
              <w:jc w:val="both"/>
            </w:pPr>
            <w:r>
              <w:rPr>
                <w:color w:val="000000"/>
                <w:sz w:val="24"/>
              </w:rPr>
              <w:t>4.12</w:t>
            </w:r>
            <w:r>
              <w:rPr>
                <w:color w:val="000000"/>
                <w:sz w:val="24"/>
              </w:rPr>
              <w:t>通过触控操作实现手动机控一键快速转换功能，无需回路扳手操作</w:t>
            </w:r>
          </w:p>
        </w:tc>
      </w:tr>
      <w:tr>
        <w:tc>
          <w:tcPr>
            <w:tcW w:type="dxa" w:w="2076"/>
          </w:tcPr>
          <w:p/>
        </w:tc>
        <w:tc>
          <w:tcPr>
            <w:tcW w:type="dxa" w:w="415"/>
          </w:tcPr>
          <w:p>
            <w:r>
              <w:rPr/>
              <w:t>26</w:t>
            </w:r>
          </w:p>
        </w:tc>
        <w:tc>
          <w:tcPr>
            <w:tcW w:type="dxa" w:w="5814"/>
          </w:tcPr>
          <w:p>
            <w:pPr>
              <w:jc w:val="both"/>
            </w:pPr>
            <w:r>
              <w:rPr>
                <w:color w:val="000000"/>
                <w:sz w:val="24"/>
              </w:rPr>
              <w:t>4.13</w:t>
            </w:r>
            <w:r>
              <w:rPr>
                <w:color w:val="000000"/>
                <w:sz w:val="24"/>
              </w:rPr>
              <w:t>智能化呼吸机，有防止错误设置参数功能，保证麻醉安全</w:t>
            </w:r>
          </w:p>
        </w:tc>
      </w:tr>
      <w:tr>
        <w:tc>
          <w:tcPr>
            <w:tcW w:type="dxa" w:w="2076"/>
          </w:tcPr>
          <w:p/>
        </w:tc>
        <w:tc>
          <w:tcPr>
            <w:tcW w:type="dxa" w:w="415"/>
          </w:tcPr>
          <w:p>
            <w:r>
              <w:rPr/>
              <w:t>27</w:t>
            </w:r>
          </w:p>
        </w:tc>
        <w:tc>
          <w:tcPr>
            <w:tcW w:type="dxa" w:w="5814"/>
          </w:tcPr>
          <w:p>
            <w:pPr>
              <w:jc w:val="both"/>
            </w:pPr>
            <w:r>
              <w:rPr>
                <w:color w:val="000000"/>
                <w:sz w:val="24"/>
              </w:rPr>
              <w:t>4.14</w:t>
            </w:r>
            <w:r>
              <w:rPr>
                <w:color w:val="000000"/>
                <w:sz w:val="24"/>
              </w:rPr>
              <w:t>在容量模式和压力模式之间切换时，设备可以智能设置关键参数，避免人机对抗；</w:t>
            </w:r>
          </w:p>
        </w:tc>
      </w:tr>
      <w:tr>
        <w:tc>
          <w:tcPr>
            <w:tcW w:type="dxa" w:w="2076"/>
          </w:tcPr>
          <w:p/>
        </w:tc>
        <w:tc>
          <w:tcPr>
            <w:tcW w:type="dxa" w:w="415"/>
          </w:tcPr>
          <w:p>
            <w:r>
              <w:rPr/>
              <w:t>28</w:t>
            </w:r>
          </w:p>
        </w:tc>
        <w:tc>
          <w:tcPr>
            <w:tcW w:type="dxa" w:w="5814"/>
          </w:tcPr>
          <w:p>
            <w:pPr>
              <w:jc w:val="both"/>
            </w:pPr>
            <w:r>
              <w:rPr>
                <w:color w:val="000000"/>
                <w:sz w:val="24"/>
              </w:rPr>
              <w:t>五、参数和波形监测</w:t>
            </w:r>
          </w:p>
          <w:p>
            <w:pPr>
              <w:jc w:val="both"/>
            </w:pPr>
            <w:r>
              <w:rPr>
                <w:color w:val="000000"/>
                <w:sz w:val="24"/>
              </w:rPr>
              <w:t>5.1</w:t>
            </w:r>
            <w:r>
              <w:rPr>
                <w:color w:val="000000"/>
                <w:sz w:val="24"/>
              </w:rPr>
              <w:t>监测参数：吸入氧、呼吸频率、潮气量、分钟通气量、气道压（峰压、平台压、平均压、</w:t>
            </w:r>
            <w:r>
              <w:rPr>
                <w:color w:val="000000"/>
                <w:sz w:val="24"/>
              </w:rPr>
              <w:t>PEEP</w:t>
            </w:r>
            <w:r>
              <w:rPr>
                <w:color w:val="000000"/>
                <w:sz w:val="24"/>
              </w:rPr>
              <w:t>）；</w:t>
            </w:r>
          </w:p>
        </w:tc>
      </w:tr>
      <w:tr>
        <w:tc>
          <w:tcPr>
            <w:tcW w:type="dxa" w:w="2076"/>
          </w:tcPr>
          <w:p/>
        </w:tc>
        <w:tc>
          <w:tcPr>
            <w:tcW w:type="dxa" w:w="415"/>
          </w:tcPr>
          <w:p>
            <w:r>
              <w:rPr/>
              <w:t>29</w:t>
            </w:r>
          </w:p>
        </w:tc>
        <w:tc>
          <w:tcPr>
            <w:tcW w:type="dxa" w:w="5814"/>
          </w:tcPr>
          <w:p>
            <w:pPr>
              <w:jc w:val="both"/>
            </w:pPr>
            <w:r>
              <w:rPr>
                <w:color w:val="000000"/>
                <w:sz w:val="24"/>
              </w:rPr>
              <w:t>5.2</w:t>
            </w:r>
            <w:r>
              <w:rPr>
                <w:color w:val="000000"/>
                <w:sz w:val="24"/>
              </w:rPr>
              <w:t>具有氧浓度监测。</w:t>
            </w:r>
          </w:p>
        </w:tc>
      </w:tr>
      <w:tr>
        <w:tc>
          <w:tcPr>
            <w:tcW w:type="dxa" w:w="2076"/>
          </w:tcPr>
          <w:p/>
        </w:tc>
        <w:tc>
          <w:tcPr>
            <w:tcW w:type="dxa" w:w="415"/>
          </w:tcPr>
          <w:p>
            <w:r>
              <w:rPr/>
              <w:t>30</w:t>
            </w:r>
          </w:p>
        </w:tc>
        <w:tc>
          <w:tcPr>
            <w:tcW w:type="dxa" w:w="5814"/>
          </w:tcPr>
          <w:p>
            <w:pPr>
              <w:jc w:val="both"/>
            </w:pPr>
            <w:r>
              <w:rPr>
                <w:color w:val="000000"/>
                <w:sz w:val="24"/>
              </w:rPr>
              <w:t>5.3</w:t>
            </w:r>
            <w:r>
              <w:rPr>
                <w:color w:val="000000"/>
                <w:sz w:val="24"/>
              </w:rPr>
              <w:t>具有二氧化碳监测模块，监测吸入和呼出二氧化碳浓度，二氧化碳波形可在屏幕显示</w:t>
            </w:r>
          </w:p>
        </w:tc>
      </w:tr>
      <w:tr>
        <w:tc>
          <w:tcPr>
            <w:tcW w:type="dxa" w:w="2076"/>
          </w:tcPr>
          <w:p/>
        </w:tc>
        <w:tc>
          <w:tcPr>
            <w:tcW w:type="dxa" w:w="415"/>
          </w:tcPr>
          <w:p>
            <w:r>
              <w:rPr/>
              <w:t>31</w:t>
            </w:r>
          </w:p>
        </w:tc>
        <w:tc>
          <w:tcPr>
            <w:tcW w:type="dxa" w:w="5814"/>
          </w:tcPr>
          <w:p>
            <w:pPr>
              <w:jc w:val="both"/>
            </w:pPr>
            <w:r>
              <w:rPr>
                <w:color w:val="000000"/>
                <w:sz w:val="24"/>
              </w:rPr>
              <w:t>5.4</w:t>
            </w:r>
            <w:r>
              <w:rPr>
                <w:color w:val="000000"/>
                <w:sz w:val="24"/>
              </w:rPr>
              <w:t>可选配进口主流或旁流麻醉气体分析模块，可以监测</w:t>
            </w:r>
            <w:r>
              <w:rPr>
                <w:color w:val="000000"/>
                <w:sz w:val="24"/>
              </w:rPr>
              <w:t>5</w:t>
            </w:r>
            <w:r>
              <w:rPr>
                <w:color w:val="000000"/>
                <w:sz w:val="24"/>
              </w:rPr>
              <w:t>种麻醉气体、</w:t>
            </w:r>
            <w:r>
              <w:rPr>
                <w:color w:val="000000"/>
                <w:sz w:val="24"/>
              </w:rPr>
              <w:t>CO2</w:t>
            </w:r>
            <w:r>
              <w:rPr>
                <w:color w:val="000000"/>
                <w:sz w:val="24"/>
              </w:rPr>
              <w:t>、</w:t>
            </w:r>
            <w:r>
              <w:rPr>
                <w:color w:val="000000"/>
                <w:sz w:val="24"/>
              </w:rPr>
              <w:t>N2O</w:t>
            </w:r>
            <w:r>
              <w:rPr>
                <w:color w:val="000000"/>
                <w:sz w:val="24"/>
              </w:rPr>
              <w:t>；可以显示</w:t>
            </w:r>
            <w:r>
              <w:rPr>
                <w:color w:val="000000"/>
                <w:sz w:val="24"/>
              </w:rPr>
              <w:t>MAC</w:t>
            </w:r>
            <w:r>
              <w:rPr>
                <w:color w:val="000000"/>
                <w:sz w:val="24"/>
              </w:rPr>
              <w:t>值；计算麻药消耗量</w:t>
            </w:r>
          </w:p>
        </w:tc>
      </w:tr>
      <w:tr>
        <w:tc>
          <w:tcPr>
            <w:tcW w:type="dxa" w:w="2076"/>
          </w:tcPr>
          <w:p/>
        </w:tc>
        <w:tc>
          <w:tcPr>
            <w:tcW w:type="dxa" w:w="415"/>
          </w:tcPr>
          <w:p>
            <w:r>
              <w:rPr/>
              <w:t>32</w:t>
            </w:r>
          </w:p>
        </w:tc>
        <w:tc>
          <w:tcPr>
            <w:tcW w:type="dxa" w:w="5814"/>
          </w:tcPr>
          <w:p>
            <w:pPr>
              <w:jc w:val="both"/>
            </w:pPr>
            <w:r>
              <w:rPr>
                <w:color w:val="000000"/>
                <w:sz w:val="24"/>
              </w:rPr>
              <w:t>5.5</w:t>
            </w:r>
            <w:r>
              <w:rPr>
                <w:color w:val="000000"/>
                <w:sz w:val="24"/>
              </w:rPr>
              <w:t>具有实时压力时间、流速时间、容量时间、二氧化碳时间波形描记</w:t>
            </w:r>
          </w:p>
        </w:tc>
      </w:tr>
      <w:tr>
        <w:tc>
          <w:tcPr>
            <w:tcW w:type="dxa" w:w="2076"/>
          </w:tcPr>
          <w:p/>
        </w:tc>
        <w:tc>
          <w:tcPr>
            <w:tcW w:type="dxa" w:w="415"/>
          </w:tcPr>
          <w:p>
            <w:r>
              <w:rPr/>
              <w:t>33</w:t>
            </w:r>
          </w:p>
        </w:tc>
        <w:tc>
          <w:tcPr>
            <w:tcW w:type="dxa" w:w="5814"/>
          </w:tcPr>
          <w:p>
            <w:pPr>
              <w:jc w:val="both"/>
            </w:pPr>
            <w:r>
              <w:rPr>
                <w:color w:val="000000"/>
                <w:sz w:val="24"/>
              </w:rPr>
              <w:t>5.6</w:t>
            </w:r>
            <w:r>
              <w:rPr>
                <w:color w:val="000000"/>
                <w:sz w:val="24"/>
              </w:rPr>
              <w:t>标配呼吸环监测功能：压力容量环、流量容量环、压力流速环；一键进入，具备呼吸环冻结功能</w:t>
            </w:r>
          </w:p>
        </w:tc>
      </w:tr>
      <w:tr>
        <w:tc>
          <w:tcPr>
            <w:tcW w:type="dxa" w:w="2076"/>
          </w:tcPr>
          <w:p/>
        </w:tc>
        <w:tc>
          <w:tcPr>
            <w:tcW w:type="dxa" w:w="415"/>
          </w:tcPr>
          <w:p>
            <w:r>
              <w:rPr/>
              <w:t>34</w:t>
            </w:r>
          </w:p>
        </w:tc>
        <w:tc>
          <w:tcPr>
            <w:tcW w:type="dxa" w:w="5814"/>
          </w:tcPr>
          <w:p>
            <w:pPr>
              <w:jc w:val="both"/>
            </w:pPr>
            <w:r>
              <w:rPr>
                <w:color w:val="000000"/>
                <w:sz w:val="24"/>
              </w:rPr>
              <w:t>5.7</w:t>
            </w:r>
            <w:r>
              <w:rPr>
                <w:color w:val="000000"/>
                <w:sz w:val="24"/>
              </w:rPr>
              <w:t>报警参数：氧浓度、低驱动压、气道压、潮气量、分钟通气量、窒息</w:t>
            </w:r>
          </w:p>
        </w:tc>
      </w:tr>
      <w:tr>
        <w:tc>
          <w:tcPr>
            <w:tcW w:type="dxa" w:w="2076"/>
          </w:tcPr>
          <w:p>
            <w:r>
              <w:rPr/>
              <w:t>▲</w:t>
            </w:r>
          </w:p>
        </w:tc>
        <w:tc>
          <w:tcPr>
            <w:tcW w:type="dxa" w:w="415"/>
          </w:tcPr>
          <w:p>
            <w:r>
              <w:rPr/>
              <w:t>35</w:t>
            </w:r>
          </w:p>
        </w:tc>
        <w:tc>
          <w:tcPr>
            <w:tcW w:type="dxa" w:w="5814"/>
          </w:tcPr>
          <w:p>
            <w:pPr>
              <w:jc w:val="both"/>
            </w:pPr>
            <w:r>
              <w:rPr>
                <w:color w:val="000000"/>
                <w:sz w:val="24"/>
              </w:rPr>
              <w:t>5.8</w:t>
            </w:r>
            <w:r>
              <w:rPr>
                <w:color w:val="000000"/>
                <w:sz w:val="24"/>
              </w:rPr>
              <w:t>具有数据监测，数据记录功能：最多</w:t>
            </w:r>
            <w:r>
              <w:rPr>
                <w:color w:val="000000"/>
                <w:sz w:val="24"/>
              </w:rPr>
              <w:t>17</w:t>
            </w:r>
            <w:r>
              <w:rPr>
                <w:color w:val="000000"/>
                <w:sz w:val="24"/>
              </w:rPr>
              <w:t>项重要参数、</w:t>
            </w:r>
            <w:r>
              <w:rPr>
                <w:color w:val="000000"/>
                <w:sz w:val="24"/>
              </w:rPr>
              <w:t>200</w:t>
            </w:r>
            <w:r>
              <w:rPr>
                <w:color w:val="000000"/>
                <w:sz w:val="24"/>
              </w:rPr>
              <w:t>条报警日志回顾，最长</w:t>
            </w:r>
            <w:r>
              <w:rPr>
                <w:color w:val="000000"/>
                <w:sz w:val="24"/>
              </w:rPr>
              <w:t>30</w:t>
            </w:r>
            <w:r>
              <w:rPr>
                <w:color w:val="000000"/>
                <w:sz w:val="24"/>
              </w:rPr>
              <w:t>天同步存储记录，最短</w:t>
            </w:r>
            <w:r>
              <w:rPr>
                <w:color w:val="000000"/>
                <w:sz w:val="24"/>
              </w:rPr>
              <w:t>30</w:t>
            </w:r>
            <w:r>
              <w:rPr>
                <w:color w:val="000000"/>
                <w:sz w:val="24"/>
              </w:rPr>
              <w:t>秒刷新</w:t>
            </w:r>
          </w:p>
        </w:tc>
      </w:tr>
      <w:tr>
        <w:tc>
          <w:tcPr>
            <w:tcW w:type="dxa" w:w="2076"/>
          </w:tcPr>
          <w:p>
            <w:r>
              <w:rPr/>
              <w:t>▲</w:t>
            </w:r>
          </w:p>
        </w:tc>
        <w:tc>
          <w:tcPr>
            <w:tcW w:type="dxa" w:w="415"/>
          </w:tcPr>
          <w:p>
            <w:r>
              <w:rPr/>
              <w:t>36</w:t>
            </w:r>
          </w:p>
        </w:tc>
        <w:tc>
          <w:tcPr>
            <w:tcW w:type="dxa" w:w="5814"/>
          </w:tcPr>
          <w:p>
            <w:pPr>
              <w:jc w:val="both"/>
            </w:pPr>
            <w:r>
              <w:rPr>
                <w:color w:val="000000"/>
                <w:sz w:val="24"/>
              </w:rPr>
              <w:t>5.9</w:t>
            </w:r>
            <w:r>
              <w:rPr>
                <w:color w:val="000000"/>
                <w:sz w:val="24"/>
              </w:rPr>
              <w:t>具有趋势记录功能，可连续记录潮气量变化，分钟通气量，气道压力变化，二氧化碳，氧浓度变化，最长可描记</w:t>
            </w:r>
            <w:r>
              <w:rPr>
                <w:color w:val="000000"/>
                <w:sz w:val="24"/>
              </w:rPr>
              <w:t>72</w:t>
            </w:r>
            <w:r>
              <w:rPr>
                <w:color w:val="000000"/>
                <w:sz w:val="24"/>
              </w:rPr>
              <w:t>小时记录图，同屏选择两图显示。</w:t>
            </w:r>
          </w:p>
        </w:tc>
      </w:tr>
      <w:tr>
        <w:tc>
          <w:tcPr>
            <w:tcW w:type="dxa" w:w="2076"/>
          </w:tcPr>
          <w:p>
            <w:r>
              <w:rPr/>
              <w:t>▲</w:t>
            </w:r>
          </w:p>
        </w:tc>
        <w:tc>
          <w:tcPr>
            <w:tcW w:type="dxa" w:w="415"/>
          </w:tcPr>
          <w:p>
            <w:r>
              <w:rPr/>
              <w:t>37</w:t>
            </w:r>
          </w:p>
        </w:tc>
        <w:tc>
          <w:tcPr>
            <w:tcW w:type="dxa" w:w="5814"/>
          </w:tcPr>
          <w:p>
            <w:pPr>
              <w:jc w:val="both"/>
            </w:pPr>
            <w:r>
              <w:rPr>
                <w:color w:val="000000"/>
                <w:sz w:val="24"/>
              </w:rPr>
              <w:t>5.10</w:t>
            </w:r>
            <w:r>
              <w:rPr>
                <w:color w:val="000000"/>
                <w:sz w:val="24"/>
              </w:rPr>
              <w:t>具有牵张指数计算及监测，驱动压监测</w:t>
            </w:r>
          </w:p>
        </w:tc>
      </w:tr>
      <w:tr>
        <w:tc>
          <w:tcPr>
            <w:tcW w:type="dxa" w:w="2076"/>
          </w:tcPr>
          <w:p>
            <w:r>
              <w:rPr/>
              <w:t>▲</w:t>
            </w:r>
          </w:p>
        </w:tc>
        <w:tc>
          <w:tcPr>
            <w:tcW w:type="dxa" w:w="415"/>
          </w:tcPr>
          <w:p>
            <w:r>
              <w:rPr/>
              <w:t>38</w:t>
            </w:r>
          </w:p>
        </w:tc>
        <w:tc>
          <w:tcPr>
            <w:tcW w:type="dxa" w:w="5814"/>
          </w:tcPr>
          <w:p>
            <w:pPr>
              <w:jc w:val="both"/>
            </w:pPr>
            <w:r>
              <w:rPr>
                <w:color w:val="000000"/>
                <w:sz w:val="24"/>
              </w:rPr>
              <w:t>5.11</w:t>
            </w:r>
            <w:r>
              <w:rPr>
                <w:color w:val="000000"/>
                <w:sz w:val="24"/>
              </w:rPr>
              <w:t>具有肺复张工具，</w:t>
            </w:r>
            <w:r>
              <w:rPr>
                <w:color w:val="000000"/>
                <w:sz w:val="24"/>
              </w:rPr>
              <w:t>PV</w:t>
            </w:r>
            <w:r>
              <w:rPr>
                <w:color w:val="000000"/>
                <w:sz w:val="24"/>
              </w:rPr>
              <w:t>环工具，心脏旁路功能（</w:t>
            </w:r>
            <w:r>
              <w:rPr>
                <w:color w:val="000000"/>
                <w:sz w:val="24"/>
              </w:rPr>
              <w:t>CPB</w:t>
            </w:r>
            <w:r>
              <w:rPr>
                <w:color w:val="000000"/>
                <w:sz w:val="24"/>
              </w:rPr>
              <w:t>）</w:t>
            </w:r>
          </w:p>
        </w:tc>
      </w:tr>
      <w:tr>
        <w:tc>
          <w:tcPr>
            <w:tcW w:type="dxa" w:w="2076"/>
          </w:tcPr>
          <w:p/>
        </w:tc>
        <w:tc>
          <w:tcPr>
            <w:tcW w:type="dxa" w:w="415"/>
          </w:tcPr>
          <w:p>
            <w:r>
              <w:rPr/>
              <w:t>39</w:t>
            </w:r>
          </w:p>
        </w:tc>
        <w:tc>
          <w:tcPr>
            <w:tcW w:type="dxa" w:w="5814"/>
          </w:tcPr>
          <w:p>
            <w:pPr>
              <w:jc w:val="both"/>
            </w:pPr>
            <w:r>
              <w:rPr>
                <w:color w:val="000000"/>
                <w:sz w:val="24"/>
              </w:rPr>
              <w:t>六、麻药蒸发器</w:t>
            </w:r>
          </w:p>
          <w:p>
            <w:pPr>
              <w:jc w:val="both"/>
            </w:pPr>
            <w:r>
              <w:rPr>
                <w:color w:val="000000"/>
                <w:sz w:val="24"/>
              </w:rPr>
              <w:t>6.1</w:t>
            </w:r>
            <w:r>
              <w:rPr>
                <w:color w:val="000000"/>
                <w:sz w:val="24"/>
              </w:rPr>
              <w:t>双蒸发器罐位并配备通过</w:t>
            </w:r>
            <w:r>
              <w:rPr>
                <w:color w:val="000000"/>
                <w:sz w:val="24"/>
              </w:rPr>
              <w:t>CE</w:t>
            </w:r>
            <w:r>
              <w:rPr>
                <w:color w:val="000000"/>
                <w:sz w:val="24"/>
              </w:rPr>
              <w:t>认证蒸发器一只。</w:t>
            </w:r>
          </w:p>
        </w:tc>
      </w:tr>
      <w:tr>
        <w:tc>
          <w:tcPr>
            <w:tcW w:type="dxa" w:w="2076"/>
          </w:tcPr>
          <w:p/>
        </w:tc>
        <w:tc>
          <w:tcPr>
            <w:tcW w:type="dxa" w:w="415"/>
          </w:tcPr>
          <w:p>
            <w:r>
              <w:rPr/>
              <w:t>40</w:t>
            </w:r>
          </w:p>
        </w:tc>
        <w:tc>
          <w:tcPr>
            <w:tcW w:type="dxa" w:w="5814"/>
          </w:tcPr>
          <w:p>
            <w:pPr>
              <w:jc w:val="both"/>
            </w:pPr>
            <w:r>
              <w:rPr>
                <w:color w:val="000000"/>
                <w:sz w:val="24"/>
              </w:rPr>
              <w:t>6.2</w:t>
            </w:r>
            <w:r>
              <w:rPr>
                <w:color w:val="000000"/>
                <w:sz w:val="24"/>
              </w:rPr>
              <w:t>温度、流量、压力补偿功能，温度补偿：</w:t>
            </w:r>
            <w:r>
              <w:rPr>
                <w:color w:val="000000"/>
                <w:sz w:val="24"/>
              </w:rPr>
              <w:t>15℃-30℃</w:t>
            </w:r>
            <w:r>
              <w:rPr>
                <w:color w:val="000000"/>
                <w:sz w:val="24"/>
              </w:rPr>
              <w:t>，流量补偿：</w:t>
            </w:r>
            <w:r>
              <w:rPr>
                <w:color w:val="000000"/>
                <w:sz w:val="24"/>
              </w:rPr>
              <w:t>200ml/min-14000ml/min</w:t>
            </w:r>
          </w:p>
        </w:tc>
      </w:tr>
      <w:tr>
        <w:tc>
          <w:tcPr>
            <w:tcW w:type="dxa" w:w="2076"/>
          </w:tcPr>
          <w:p/>
        </w:tc>
        <w:tc>
          <w:tcPr>
            <w:tcW w:type="dxa" w:w="415"/>
          </w:tcPr>
          <w:p>
            <w:r>
              <w:rPr/>
              <w:t>41</w:t>
            </w:r>
          </w:p>
        </w:tc>
        <w:tc>
          <w:tcPr>
            <w:tcW w:type="dxa" w:w="5814"/>
          </w:tcPr>
          <w:p>
            <w:pPr>
              <w:jc w:val="both"/>
            </w:pPr>
            <w:r>
              <w:rPr>
                <w:color w:val="000000"/>
                <w:sz w:val="24"/>
              </w:rPr>
              <w:t>七、基本配置要求</w:t>
            </w:r>
          </w:p>
          <w:p>
            <w:pPr>
              <w:jc w:val="both"/>
            </w:pPr>
            <w:r>
              <w:rPr>
                <w:color w:val="000000"/>
                <w:sz w:val="24"/>
              </w:rPr>
              <w:t>7.1</w:t>
            </w:r>
            <w:r>
              <w:rPr>
                <w:color w:val="000000"/>
                <w:sz w:val="24"/>
              </w:rPr>
              <w:t>具备顶光照明功能，强弱两档可调，满足腔镜手术要求</w:t>
            </w:r>
          </w:p>
        </w:tc>
      </w:tr>
      <w:tr>
        <w:tc>
          <w:tcPr>
            <w:tcW w:type="dxa" w:w="2076"/>
          </w:tcPr>
          <w:p/>
        </w:tc>
        <w:tc>
          <w:tcPr>
            <w:tcW w:type="dxa" w:w="415"/>
          </w:tcPr>
          <w:p>
            <w:r>
              <w:rPr/>
              <w:t>42</w:t>
            </w:r>
          </w:p>
        </w:tc>
        <w:tc>
          <w:tcPr>
            <w:tcW w:type="dxa" w:w="5814"/>
          </w:tcPr>
          <w:p>
            <w:pPr>
              <w:jc w:val="both"/>
            </w:pPr>
            <w:r>
              <w:rPr>
                <w:color w:val="000000"/>
                <w:sz w:val="24"/>
              </w:rPr>
              <w:t>7.2</w:t>
            </w:r>
            <w:r>
              <w:rPr>
                <w:color w:val="000000"/>
                <w:sz w:val="24"/>
              </w:rPr>
              <w:t>不锈钢台面，避免腐蚀、划伤等原因造成损坏</w:t>
            </w:r>
          </w:p>
        </w:tc>
      </w:tr>
      <w:tr>
        <w:tc>
          <w:tcPr>
            <w:tcW w:type="dxa" w:w="2076"/>
          </w:tcPr>
          <w:p/>
        </w:tc>
        <w:tc>
          <w:tcPr>
            <w:tcW w:type="dxa" w:w="415"/>
          </w:tcPr>
          <w:p>
            <w:r>
              <w:rPr/>
              <w:t>43</w:t>
            </w:r>
          </w:p>
        </w:tc>
        <w:tc>
          <w:tcPr>
            <w:tcW w:type="dxa" w:w="5814"/>
          </w:tcPr>
          <w:p>
            <w:pPr>
              <w:jc w:val="both"/>
            </w:pPr>
            <w:r>
              <w:rPr>
                <w:color w:val="000000"/>
                <w:sz w:val="24"/>
              </w:rPr>
              <w:t>7.3</w:t>
            </w:r>
            <w:r>
              <w:rPr>
                <w:color w:val="000000"/>
                <w:sz w:val="24"/>
              </w:rPr>
              <w:t>后备电池使用时间：</w:t>
            </w:r>
            <w:r>
              <w:rPr>
                <w:color w:val="000000"/>
                <w:sz w:val="24"/>
              </w:rPr>
              <w:t>120</w:t>
            </w:r>
            <w:r>
              <w:rPr>
                <w:color w:val="000000"/>
                <w:sz w:val="24"/>
              </w:rPr>
              <w:t>分钟</w:t>
            </w:r>
          </w:p>
        </w:tc>
      </w:tr>
      <w:tr>
        <w:tc>
          <w:tcPr>
            <w:tcW w:type="dxa" w:w="2076"/>
          </w:tcPr>
          <w:p>
            <w:r>
              <w:rPr/>
              <w:t>▲</w:t>
            </w:r>
          </w:p>
        </w:tc>
        <w:tc>
          <w:tcPr>
            <w:tcW w:type="dxa" w:w="415"/>
          </w:tcPr>
          <w:p>
            <w:r>
              <w:rPr/>
              <w:t>44</w:t>
            </w:r>
          </w:p>
        </w:tc>
        <w:tc>
          <w:tcPr>
            <w:tcW w:type="dxa" w:w="5814"/>
          </w:tcPr>
          <w:p>
            <w:pPr>
              <w:jc w:val="both"/>
            </w:pPr>
            <w:r>
              <w:rPr>
                <w:color w:val="000000"/>
                <w:sz w:val="24"/>
              </w:rPr>
              <w:t>7.4</w:t>
            </w:r>
            <w:r>
              <w:rPr>
                <w:color w:val="000000"/>
                <w:sz w:val="24"/>
              </w:rPr>
              <w:t>独立辅助吸氧装置，可调流量范围</w:t>
            </w:r>
            <w:r>
              <w:rPr>
                <w:color w:val="000000"/>
                <w:sz w:val="24"/>
              </w:rPr>
              <w:t>0-15 l/min</w:t>
            </w:r>
            <w:r>
              <w:rPr>
                <w:color w:val="000000"/>
                <w:sz w:val="24"/>
              </w:rPr>
              <w:t>，与麻醉机一体化的操作旋钮及流量管内置于主机内，方便使用，确保长期使用不损毁。</w:t>
            </w:r>
          </w:p>
        </w:tc>
      </w:tr>
      <w:tr>
        <w:tc>
          <w:tcPr>
            <w:tcW w:type="dxa" w:w="2076"/>
          </w:tcPr>
          <w:p/>
        </w:tc>
        <w:tc>
          <w:tcPr>
            <w:tcW w:type="dxa" w:w="415"/>
          </w:tcPr>
          <w:p>
            <w:r>
              <w:rPr/>
              <w:t>45</w:t>
            </w:r>
          </w:p>
        </w:tc>
        <w:tc>
          <w:tcPr>
            <w:tcW w:type="dxa" w:w="5814"/>
          </w:tcPr>
          <w:p>
            <w:pPr>
              <w:jc w:val="both"/>
            </w:pPr>
            <w:r>
              <w:rPr>
                <w:color w:val="000000"/>
                <w:sz w:val="24"/>
              </w:rPr>
              <w:t>7.5</w:t>
            </w:r>
            <w:r>
              <w:rPr>
                <w:color w:val="000000"/>
                <w:sz w:val="24"/>
              </w:rPr>
              <w:t>可选配负压发生装置</w:t>
            </w:r>
          </w:p>
        </w:tc>
      </w:tr>
      <w:tr>
        <w:tc>
          <w:tcPr>
            <w:tcW w:type="dxa" w:w="2076"/>
          </w:tcPr>
          <w:p>
            <w:r>
              <w:rPr/>
              <w:t>▲</w:t>
            </w:r>
          </w:p>
        </w:tc>
        <w:tc>
          <w:tcPr>
            <w:tcW w:type="dxa" w:w="415"/>
          </w:tcPr>
          <w:p>
            <w:r>
              <w:rPr/>
              <w:t>46</w:t>
            </w:r>
          </w:p>
        </w:tc>
        <w:tc>
          <w:tcPr>
            <w:tcW w:type="dxa" w:w="5814"/>
          </w:tcPr>
          <w:p>
            <w:pPr>
              <w:jc w:val="both"/>
            </w:pPr>
            <w:r>
              <w:rPr>
                <w:color w:val="000000"/>
                <w:sz w:val="24"/>
              </w:rPr>
              <w:t>7.6</w:t>
            </w:r>
            <w:r>
              <w:rPr>
                <w:color w:val="000000"/>
                <w:sz w:val="24"/>
              </w:rPr>
              <w:t>麻醉机采用非风扇式散热，避免干扰层流净化；避免因风扇散热的气体交换使病菌进入麻醉机内部，造成交叉感染</w:t>
            </w:r>
          </w:p>
        </w:tc>
      </w:tr>
      <w:tr>
        <w:tc>
          <w:tcPr>
            <w:tcW w:type="dxa" w:w="2076"/>
          </w:tcPr>
          <w:p/>
        </w:tc>
        <w:tc>
          <w:tcPr>
            <w:tcW w:type="dxa" w:w="415"/>
          </w:tcPr>
          <w:p>
            <w:r>
              <w:rPr/>
              <w:t>47</w:t>
            </w:r>
          </w:p>
        </w:tc>
        <w:tc>
          <w:tcPr>
            <w:tcW w:type="dxa" w:w="5814"/>
          </w:tcPr>
          <w:p>
            <w:pPr>
              <w:jc w:val="both"/>
            </w:pPr>
            <w:r>
              <w:rPr>
                <w:sz w:val="21"/>
              </w:rPr>
              <w:t>配置清单</w:t>
            </w:r>
            <w:r>
              <w:rPr>
                <w:sz w:val="21"/>
              </w:rPr>
              <w:t>:</w:t>
            </w:r>
          </w:p>
          <w:p>
            <w:pPr>
              <w:jc w:val="both"/>
            </w:pPr>
            <w:r>
              <w:rPr>
                <w:sz w:val="21"/>
              </w:rPr>
              <w:t>1.</w:t>
            </w:r>
            <w:r>
              <w:rPr>
                <w:sz w:val="21"/>
              </w:rPr>
              <w:t xml:space="preserve">麻醉机主机                             </w:t>
            </w:r>
            <w:r>
              <w:rPr>
                <w:sz w:val="21"/>
              </w:rPr>
              <w:t>1</w:t>
            </w:r>
          </w:p>
          <w:p>
            <w:pPr>
              <w:jc w:val="both"/>
            </w:pPr>
            <w:r>
              <w:rPr>
                <w:sz w:val="21"/>
              </w:rPr>
              <w:t>2.</w:t>
            </w:r>
            <w:r>
              <w:rPr>
                <w:sz w:val="21"/>
              </w:rPr>
              <w:t xml:space="preserve">麻醉吸收回路                          </w:t>
            </w:r>
            <w:r>
              <w:rPr>
                <w:sz w:val="21"/>
              </w:rPr>
              <w:t>1</w:t>
            </w:r>
          </w:p>
          <w:p>
            <w:pPr>
              <w:jc w:val="both"/>
            </w:pPr>
            <w:r>
              <w:rPr>
                <w:sz w:val="21"/>
              </w:rPr>
              <w:t>3.</w:t>
            </w:r>
            <w:r>
              <w:rPr>
                <w:sz w:val="21"/>
              </w:rPr>
              <w:t xml:space="preserve">流量计                                    </w:t>
            </w:r>
            <w:r>
              <w:rPr>
                <w:sz w:val="21"/>
              </w:rPr>
              <w:t>1</w:t>
            </w:r>
          </w:p>
          <w:p>
            <w:pPr>
              <w:jc w:val="both"/>
            </w:pPr>
            <w:r>
              <w:rPr>
                <w:sz w:val="21"/>
              </w:rPr>
              <w:t>4.</w:t>
            </w:r>
            <w:r>
              <w:rPr>
                <w:sz w:val="21"/>
              </w:rPr>
              <w:t xml:space="preserve">麻醉呼吸机                             </w:t>
            </w:r>
            <w:r>
              <w:rPr>
                <w:sz w:val="21"/>
              </w:rPr>
              <w:t>1</w:t>
            </w:r>
          </w:p>
          <w:p>
            <w:pPr>
              <w:jc w:val="both"/>
            </w:pPr>
            <w:r>
              <w:rPr>
                <w:sz w:val="21"/>
              </w:rPr>
              <w:t>5.</w:t>
            </w:r>
            <w:r>
              <w:rPr>
                <w:sz w:val="21"/>
              </w:rPr>
              <w:t xml:space="preserve">麻醉机电池                             </w:t>
            </w:r>
            <w:r>
              <w:rPr>
                <w:sz w:val="21"/>
              </w:rPr>
              <w:t>2</w:t>
            </w:r>
          </w:p>
          <w:p>
            <w:pPr>
              <w:jc w:val="both"/>
            </w:pPr>
            <w:r>
              <w:rPr>
                <w:sz w:val="21"/>
              </w:rPr>
              <w:t>6.</w:t>
            </w:r>
            <w:r>
              <w:rPr>
                <w:sz w:val="21"/>
              </w:rPr>
              <w:t xml:space="preserve">二氧化碳气体监测模块            </w:t>
            </w:r>
            <w:r>
              <w:rPr>
                <w:sz w:val="21"/>
              </w:rPr>
              <w:t>1</w:t>
            </w:r>
          </w:p>
          <w:p>
            <w:pPr>
              <w:jc w:val="both"/>
            </w:pPr>
            <w:r>
              <w:rPr>
                <w:sz w:val="21"/>
              </w:rPr>
              <w:t>7.</w:t>
            </w:r>
            <w:r>
              <w:rPr>
                <w:sz w:val="21"/>
              </w:rPr>
              <w:t xml:space="preserve">氧浓度监测模块                      </w:t>
            </w:r>
            <w:r>
              <w:rPr>
                <w:sz w:val="21"/>
              </w:rPr>
              <w:t>1</w:t>
            </w:r>
          </w:p>
          <w:p>
            <w:pPr>
              <w:jc w:val="both"/>
            </w:pPr>
            <w:r>
              <w:rPr>
                <w:sz w:val="21"/>
              </w:rPr>
              <w:t>8.</w:t>
            </w:r>
            <w:r>
              <w:rPr>
                <w:sz w:val="21"/>
              </w:rPr>
              <w:t xml:space="preserve">麻醉气体监测模块                  </w:t>
            </w:r>
            <w:r>
              <w:rPr>
                <w:sz w:val="21"/>
              </w:rPr>
              <w:t>1</w:t>
            </w:r>
          </w:p>
          <w:p>
            <w:pPr>
              <w:jc w:val="both"/>
            </w:pPr>
            <w:r>
              <w:rPr>
                <w:sz w:val="21"/>
              </w:rPr>
              <w:t>9.</w:t>
            </w:r>
            <w:r>
              <w:rPr>
                <w:sz w:val="21"/>
              </w:rPr>
              <w:t xml:space="preserve">辅助吸氧装置                        </w:t>
            </w:r>
            <w:r>
              <w:rPr>
                <w:sz w:val="21"/>
              </w:rPr>
              <w:t>1</w:t>
            </w:r>
          </w:p>
          <w:p>
            <w:pPr>
              <w:jc w:val="both"/>
            </w:pPr>
            <w:r>
              <w:rPr>
                <w:sz w:val="21"/>
              </w:rPr>
              <w:t>10.</w:t>
            </w:r>
            <w:r>
              <w:rPr>
                <w:sz w:val="21"/>
              </w:rPr>
              <w:t xml:space="preserve">麻醉气体净化装置               </w:t>
            </w:r>
            <w:r>
              <w:rPr>
                <w:sz w:val="21"/>
              </w:rPr>
              <w:t>1</w:t>
            </w:r>
          </w:p>
          <w:p>
            <w:pPr>
              <w:jc w:val="both"/>
            </w:pPr>
            <w:r>
              <w:rPr>
                <w:sz w:val="21"/>
              </w:rPr>
              <w:t>11.</w:t>
            </w:r>
            <w:r>
              <w:rPr>
                <w:sz w:val="21"/>
              </w:rPr>
              <w:t xml:space="preserve">麻药蒸发器              </w:t>
            </w:r>
            <w:r>
              <w:rPr>
                <w:sz w:val="21"/>
              </w:rPr>
              <w:t>1</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中山大学中山眼科中心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采购包1：保证金人民币：19,000.00元整。</w:t>
            </w:r>
          </w:p>
          <w:p>
            <w:r>
              <w:rPr/>
              <w:t>开户单位：</w:t>
            </w:r>
            <w:r>
              <w:rPr/>
              <w:t>广东国利招标有限公司</w:t>
            </w:r>
          </w:p>
          <w:p>
            <w:r>
              <w:rPr/>
              <w:t>开户账号：</w:t>
            </w:r>
            <w:r>
              <w:rPr/>
              <w:t>3602056919200281221</w:t>
            </w:r>
          </w:p>
          <w:p>
            <w:r>
              <w:rPr/>
              <w:t>开户银行：</w:t>
            </w:r>
            <w:r>
              <w:rPr/>
              <w:t>工行广东自由贸易试验区南沙分行营业室</w:t>
            </w:r>
          </w:p>
          <w:p>
            <w:r>
              <w:rPr/>
              <w:t>支票提交方式：</w:t>
            </w:r>
            <w:r>
              <w:rPr/>
              <w:t>投标截止前递交</w:t>
            </w:r>
          </w:p>
          <w:p>
            <w:r>
              <w:rPr/>
              <w:t>汇票、本票提交方式：</w:t>
            </w:r>
            <w:r>
              <w:rPr/>
              <w:t>投标截止前递交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照《招标代理服务收费管理暂行办法》计价格[2002]1980号、《招标代理服务收费管理暂行办法》（发改办价格[2003]857号）文规定的收费标准，费率参照规定中的“货物招标”收取；专家评审费依据《广东省财政厅关于修订广东省政府釆购评审专家劳务报酬标准的通知》（粤财釆购[2020]17号）按实际发生的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广东国利招标有限公司</w:t>
      </w:r>
      <w:r>
        <w:rPr/>
        <w:t>代收。具体操作要求详见</w:t>
      </w:r>
      <w:r>
        <w:rPr/>
        <w:t>广东国利招标有限公司</w:t>
      </w:r>
      <w:r>
        <w:rPr/>
        <w:t>有关指引，递交事宜请自行咨询</w:t>
      </w:r>
      <w:r>
        <w:rPr/>
        <w:t>广东国利招标有限公司</w:t>
      </w:r>
      <w:r>
        <w:rPr/>
        <w:t>；请各投标人在投标文件递交截止时间前按须知前附表规定的金额递交至</w:t>
      </w:r>
      <w:r>
        <w:rPr/>
        <w:t>广东国利招标有限公司</w:t>
      </w:r>
      <w:r>
        <w:rPr/>
        <w:t>，到账情况以开标时</w:t>
      </w:r>
      <w:r>
        <w:rPr/>
        <w:t>广东国利招标有限公司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采购包1(麻醉机)：综合评分法,是指投标文件满足招标文件全部实质性要求，且按照评审因素的量化指标评审得分最高的投标人为中标候选人的评标方法。（最低报价不是中标的唯一依据。）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采购包1（麻醉机）：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投标（响应）供应商报价给予C1的价格扣除（C1的取值范围见价格扣除比例），即：评标（评审）价＝核实价－小微企业产品核实价×C1</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采购包1（麻醉机）：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（提供声明函）</w:t>
            </w:r>
          </w:p>
        </w:tc>
      </w:tr>
      <w:tr>
        <w:tc>
          <w:tcPr>
            <w:tcW w:type="dxa" w:w="890"/>
          </w:tcPr>
          <w:p>
            <w:r>
              <w:rPr/>
              <w:t>3</w:t>
            </w:r>
          </w:p>
        </w:tc>
        <w:tc>
          <w:tcPr>
            <w:tcW w:type="dxa" w:w="3178"/>
          </w:tcPr>
          <w:p>
            <w:r>
              <w:rPr/>
              <w:t>具有良好的商业信誉和健全的财务会计制度</w:t>
            </w:r>
          </w:p>
        </w:tc>
        <w:tc>
          <w:tcPr>
            <w:tcW w:type="dxa" w:w="4238"/>
          </w:tcPr>
          <w:p>
            <w:r>
              <w:rPr/>
              <w:t>（提供声明函）</w:t>
            </w:r>
          </w:p>
        </w:tc>
      </w:tr>
      <w:tr>
        <w:tc>
          <w:tcPr>
            <w:tcW w:type="dxa" w:w="890"/>
          </w:tcPr>
          <w:p>
            <w:r>
              <w:rPr/>
              <w:t>4</w:t>
            </w:r>
          </w:p>
        </w:tc>
        <w:tc>
          <w:tcPr>
            <w:tcW w:type="dxa" w:w="3178"/>
          </w:tcPr>
          <w:p>
            <w:r>
              <w:rPr/>
              <w:t>履行合同所必需的设备和专业技术能力</w:t>
            </w:r>
          </w:p>
        </w:tc>
        <w:tc>
          <w:tcPr>
            <w:tcW w:type="dxa" w:w="4238"/>
          </w:tcPr>
          <w:p>
            <w:r>
              <w:rPr/>
              <w:t>（提供声明函）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 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公平竞争承诺书</w:t>
            </w:r>
          </w:p>
        </w:tc>
        <w:tc>
          <w:tcPr>
            <w:tcW w:type="dxa" w:w="4238"/>
          </w:tcPr>
          <w:p>
            <w:r>
              <w:rPr/>
              <w:t>投标人必须提供公平竞争承诺书；</w:t>
            </w:r>
          </w:p>
        </w:tc>
      </w:tr>
      <w:tr>
        <w:tc>
          <w:tcPr>
            <w:tcW w:type="dxa" w:w="890"/>
          </w:tcPr>
          <w:p>
            <w:r>
              <w:rPr/>
              <w:t>9</w:t>
            </w:r>
          </w:p>
        </w:tc>
        <w:tc>
          <w:tcPr>
            <w:tcW w:type="dxa" w:w="3178"/>
          </w:tcPr>
          <w:p>
            <w:r>
              <w:rPr/>
              <w:t>本项目不接受联合体投标</w:t>
            </w:r>
          </w:p>
        </w:tc>
        <w:tc>
          <w:tcPr>
            <w:tcW w:type="dxa" w:w="4238"/>
          </w:tcPr>
          <w:p>
            <w:r>
              <w:rPr/>
              <w:t>本项目不接受联合体投标。（提供声明函）</w:t>
            </w:r>
          </w:p>
        </w:tc>
      </w:tr>
      <w:tr>
        <w:tc>
          <w:tcPr>
            <w:tcW w:type="dxa" w:w="890"/>
          </w:tcPr>
          <w:p>
            <w:r>
              <w:rPr/>
              <w:t>10</w:t>
            </w:r>
          </w:p>
        </w:tc>
        <w:tc>
          <w:tcPr>
            <w:tcW w:type="dxa" w:w="3178"/>
          </w:tcPr>
          <w:p>
            <w:r>
              <w:rPr/>
              <w:t>《医疗器械监督管理条例》、《医疗器械注册管理办法》等法规的规定的相关要求</w:t>
            </w:r>
          </w:p>
        </w:tc>
        <w:tc>
          <w:tcPr>
            <w:tcW w:type="dxa" w:w="4238"/>
          </w:tcPr>
          <w:p>
            <w:r>
              <w:rPr/>
              <w:t>（1）供应商为所投产品的生产企业的，必须提供《医疗器械生产企业许可证》或《医疗器械生产备案凭证》，且生产范围包含该产品；供应商为所投产品的代理商或授权供应商，必须提供《医疗器械经营企业许可证》或《医疗器械经营备案凭证》，且经营范围包含该产品。（2）食品药品监督管理局对投标产品有注册或备案要求的，供应商必须提供所投产品的《医疗器械注册证》或医疗器械备案证明。</w:t>
            </w:r>
          </w:p>
        </w:tc>
      </w:tr>
      <w:tr>
        <w:tc>
          <w:tcPr>
            <w:tcW w:type="dxa" w:w="890"/>
          </w:tcPr>
          <w:p>
            <w:r>
              <w:rPr/>
              <w:t>11</w:t>
            </w:r>
          </w:p>
        </w:tc>
        <w:tc>
          <w:tcPr>
            <w:tcW w:type="dxa" w:w="3178"/>
          </w:tcPr>
          <w:p>
            <w:r>
              <w:rPr/>
              <w:t>落实政府采购政策需满足的资格要求</w:t>
            </w:r>
          </w:p>
        </w:tc>
        <w:tc>
          <w:tcPr>
            <w:tcW w:type="dxa" w:w="4238"/>
          </w:tcPr>
          <w:p>
            <w:r>
              <w:rPr/>
              <w:t>本项目不属于专门面向中小企业采购的项目，属于《政府采购促进中小企业发展管理办法》第六条第二款第（三）项情形。</w:t>
            </w:r>
          </w:p>
        </w:tc>
      </w:tr>
    </w:tbl>
    <w:p/>
    <w:p>
      <w:pPr>
        <w:ind w:firstLine="480"/>
      </w:pPr>
      <w:r>
        <w:rPr/>
        <w:t>表二符合性审查表：</w:t>
      </w:r>
    </w:p>
    <w:p>
      <w:pPr>
        <w:ind w:firstLine="480"/>
      </w:pPr>
    </w:p>
    <w:p/>
    <w:p>
      <w:r>
        <w:rPr/>
        <w:t>采购包1（麻醉机）：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未发现存在如下其他无效投标情形之一： （1）评审期间，供应商没有按评标委员会的要求提交有效的澄清、说明、补正，或提交的澄清、说明、补正改变了投标文件的实质性内容；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麻醉机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所投产品对采购需求“具体技术(参数)要求”中带“▲”号的重要技术条款的符合性 (24.0分)</w:t>
            </w:r>
          </w:p>
        </w:tc>
        <w:tc>
          <w:tcPr>
            <w:tcW w:type="dxa" w:w="5076"/>
          </w:tcPr>
          <w:p>
            <w:pPr>
              <w:jc w:val="left"/>
            </w:pPr>
            <w:r>
              <w:rPr/>
              <w:t>完全满足或优于采购需求 “具体技术(参数)要求”中： 带“▲”号的重要技术条款得24分，负偏离一项扣2分，最多扣24分。 （投标人须提供所投产品有效的彩页、产品性能技术参数介绍资料及相应技术参数的厂家使用说明书、质量认可材料等作为技术证明文件，否则评审委员会有权视为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所投产品对用户需求“具体技术(参数)要求”中不带“▲”的一般技术条款的符合性 (10.0分)</w:t>
            </w:r>
          </w:p>
        </w:tc>
        <w:tc>
          <w:tcPr>
            <w:tcW w:type="dxa" w:w="5076"/>
          </w:tcPr>
          <w:p>
            <w:pPr>
              <w:jc w:val="left"/>
            </w:pPr>
            <w:r>
              <w:rPr/>
              <w:t>完全满足或优于采购需求“具体技术(参数)要求”中： 不带“▲”号的一般技术条款得10分，负偏离一项扣1分，最多扣10分。 （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产品技术性能评审 (10.0分)</w:t>
            </w:r>
          </w:p>
        </w:tc>
        <w:tc>
          <w:tcPr>
            <w:tcW w:type="dxa" w:w="5076"/>
          </w:tcPr>
          <w:p>
            <w:pPr>
              <w:jc w:val="left"/>
            </w:pPr>
            <w:r>
              <w:rPr/>
              <w:t>1.所投产品整机工艺精良，关键部件匹配性高，技术性能可靠性卓越，得 10 分； 2.所投产品整机工艺较好，关键部件匹配性好，技术性能可靠性较好，得 6 分； 3.所投产品整机工艺一般，关键部件匹配性一般，技术性能可靠性一般，得 3 分； 投标人需提交相应资料和证明作为评分依据，若不提供，则均不得分。</w:t>
            </w:r>
          </w:p>
        </w:tc>
      </w:tr>
      <w:tr>
        <w:tc>
          <w:tcPr>
            <w:tcW w:type="dxa" w:w="922"/>
            <w:gridSpan w:val="2"/>
            <w:vMerge/>
          </w:tcPr>
          <w:p/>
        </w:tc>
        <w:tc>
          <w:tcPr>
            <w:tcW w:type="dxa" w:w="2307"/>
          </w:tcPr>
          <w:p>
            <w:pPr>
              <w:jc w:val="left"/>
            </w:pPr>
            <w:r>
              <w:rPr/>
              <w:t>售后服务方案 (11.0分)</w:t>
            </w:r>
          </w:p>
        </w:tc>
        <w:tc>
          <w:tcPr>
            <w:tcW w:type="dxa" w:w="5076"/>
          </w:tcPr>
          <w:p>
            <w:pPr>
              <w:jc w:val="left"/>
            </w:pPr>
            <w:r>
              <w:rPr/>
              <w:t>1.服务响应时间承诺： 承诺的维修响应时间为2小时（含）以内、到场时间为24小时（含）内，得3分； 承诺的维修响应时间为2小时以内、到场时间超过24小时但在48小时内，得1分； 其他情况得0分。 2.投标人提供由投标产品制造商或国内总代理商出具的保修服务书，保修期从项目最终验收合格投入使用之日算起。该服务书包括服务内容、制造商名称、落款日期等内容（该费用应包含在投标报价中），证明文件加盖制造商公章。 售后服务措施完整、可行，有针对性，且完全满足或优于项目需求的，得8分； 售后服务措施基本完整，售后服务内容只能部分满足项目需求的，得6分； 售后服务措施缺乏完整性、不具备可行性的得3分； 不提供保修服务书的不得分。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val="restart"/>
          </w:tcPr>
          <w:p>
            <w:pPr>
              <w:jc w:val="center"/>
            </w:pPr>
            <w:r>
              <w:rPr/>
              <w:t>商务部分</w:t>
            </w:r>
          </w:p>
        </w:tc>
        <w:tc>
          <w:tcPr>
            <w:tcW w:type="dxa" w:w="2307"/>
          </w:tcPr>
          <w:p>
            <w:pPr>
              <w:jc w:val="left"/>
            </w:pPr>
            <w:r>
              <w:rPr/>
              <w:t>产品授权 (6.0分)</w:t>
            </w:r>
            <w:r>
              <w:rPr/>
              <w:t>，（等次分值选择：</w:t>
            </w:r>
            <w:r>
              <w:rPr/>
              <w:t>0.0;</w:t>
            </w:r>
            <w:r>
              <w:rPr/>
              <w:t>3.0;</w:t>
            </w:r>
            <w:r>
              <w:rPr/>
              <w:t>6.0;</w:t>
            </w:r>
            <w:r>
              <w:rPr/>
              <w:t>）</w:t>
            </w:r>
          </w:p>
        </w:tc>
        <w:tc>
          <w:tcPr>
            <w:tcW w:type="dxa" w:w="5076"/>
          </w:tcPr>
          <w:p>
            <w:pPr>
              <w:jc w:val="left"/>
            </w:pPr>
            <w:r>
              <w:rPr/>
              <w:t>投标人为生产厂家或一级代理商参加投标得6分； 投标人为二级代理商参加投标得3分； 其它得0分。 生产厂家提供营业执照，代理商提供产品代理证书或生产制造商有效授权委托书复印件（授权书内若无有效期限，则视为无效授权）。</w:t>
            </w:r>
          </w:p>
        </w:tc>
      </w:tr>
      <w:tr>
        <w:tc>
          <w:tcPr>
            <w:tcW w:type="dxa" w:w="922"/>
            <w:gridSpan w:val="2"/>
            <w:vMerge/>
          </w:tcPr>
          <w:p/>
        </w:tc>
        <w:tc>
          <w:tcPr>
            <w:tcW w:type="dxa" w:w="2307"/>
          </w:tcPr>
          <w:p>
            <w:pPr>
              <w:jc w:val="left"/>
            </w:pPr>
            <w:r>
              <w:rPr/>
              <w:t>商务条款响应程度 (6.0分)</w:t>
            </w:r>
            <w:r>
              <w:rPr/>
              <w:t>，（等次分值选择：</w:t>
            </w:r>
            <w:r>
              <w:rPr/>
              <w:t>0.0;</w:t>
            </w:r>
            <w:r>
              <w:rPr/>
              <w:t>3.0;</w:t>
            </w:r>
            <w:r>
              <w:rPr/>
              <w:t>6.0;</w:t>
            </w:r>
            <w:r>
              <w:rPr/>
              <w:t>）</w:t>
            </w:r>
          </w:p>
        </w:tc>
        <w:tc>
          <w:tcPr>
            <w:tcW w:type="dxa" w:w="5076"/>
          </w:tcPr>
          <w:p>
            <w:pPr>
              <w:jc w:val="left"/>
            </w:pPr>
            <w:r>
              <w:rPr/>
              <w:t>优于招标文件要求的得6分；满足招标文件要求的3分，有偏离招标文件要求的得0分。</w:t>
            </w:r>
          </w:p>
        </w:tc>
      </w:tr>
      <w:tr>
        <w:tc>
          <w:tcPr>
            <w:tcW w:type="dxa" w:w="922"/>
            <w:gridSpan w:val="2"/>
            <w:vMerge/>
          </w:tcPr>
          <w:p/>
        </w:tc>
        <w:tc>
          <w:tcPr>
            <w:tcW w:type="dxa" w:w="2307"/>
          </w:tcPr>
          <w:p>
            <w:pPr>
              <w:jc w:val="left"/>
            </w:pPr>
            <w:r>
              <w:rPr/>
              <w:t>2019年1月至今同类项目业绩经验 (3.0分)</w:t>
            </w:r>
            <w:r>
              <w:rPr/>
              <w:t>，（等次分值选择：</w:t>
            </w:r>
            <w:r>
              <w:rPr/>
              <w:t>0.0;</w:t>
            </w:r>
            <w:r>
              <w:rPr/>
              <w:t>3.0;</w:t>
            </w:r>
            <w:r>
              <w:rPr/>
              <w:t>）</w:t>
            </w:r>
          </w:p>
        </w:tc>
        <w:tc>
          <w:tcPr>
            <w:tcW w:type="dxa" w:w="5076"/>
          </w:tcPr>
          <w:p>
            <w:pPr>
              <w:jc w:val="left"/>
            </w:pPr>
            <w:r>
              <w:rPr/>
              <w:t>提供十项同类项目(以中标通知书或合同为准)得3分，其它得0分。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36"/>
        </w:rPr>
        <w:t>合同文本</w:t>
      </w:r>
    </w:p>
    <w:p>
      <w:pPr>
        <w:ind w:firstLine="480"/>
        <w:jc w:val="both"/>
      </w:pPr>
    </w:p>
    <w:p>
      <w:pPr>
        <w:jc w:val="both"/>
      </w:pPr>
    </w:p>
    <w:p>
      <w:pPr>
        <w:jc w:val="both"/>
      </w:pPr>
    </w:p>
    <w:p>
      <w:pPr>
        <w:jc w:val="center"/>
      </w:pPr>
      <w:r>
        <w:rPr>
          <w:b/>
          <w:color w:val="000000"/>
          <w:sz w:val="38"/>
        </w:rPr>
        <w:t>合同书</w:t>
      </w:r>
    </w:p>
    <w:p>
      <w:pPr>
        <w:jc w:val="both"/>
      </w:pPr>
    </w:p>
    <w:p>
      <w:pPr>
        <w:jc w:val="both"/>
      </w:pPr>
    </w:p>
    <w:p>
      <w:pPr>
        <w:jc w:val="center"/>
      </w:pPr>
      <w:r>
        <w:rPr>
          <w:b/>
          <w:color w:val="000000"/>
          <w:sz w:val="22"/>
          <w:u w:val="single"/>
        </w:rPr>
        <w:t>（注：本合同样本仅供参考，具体内容由买、卖方双方协商确定。）</w:t>
      </w:r>
    </w:p>
    <w:p>
      <w:pPr>
        <w:jc w:val="center"/>
      </w:pPr>
      <w:r>
        <w:rPr>
          <w:sz w:val="21"/>
        </w:rPr>
        <w:t xml:space="preserve"> </w:t>
      </w:r>
    </w:p>
    <w:p>
      <w:pPr>
        <w:jc w:val="center"/>
      </w:pPr>
      <w:r>
        <w:rPr>
          <w:b/>
          <w:sz w:val="52"/>
        </w:rPr>
        <w:t>国内采购合同</w:t>
      </w:r>
    </w:p>
    <w:p>
      <w:pPr>
        <w:jc w:val="center"/>
      </w:pPr>
      <w:r>
        <w:rPr>
          <w:sz w:val="21"/>
        </w:rPr>
        <w:t xml:space="preserve"> </w:t>
      </w:r>
    </w:p>
    <w:p>
      <w:pPr>
        <w:jc w:val="both"/>
      </w:pPr>
      <w:r>
        <w:rPr>
          <w:b/>
          <w:sz w:val="22"/>
        </w:rPr>
        <w:t xml:space="preserve">                                                      </w:t>
      </w:r>
      <w:r>
        <w:rPr>
          <w:b/>
          <w:sz w:val="22"/>
        </w:rPr>
        <w:t>合同编号：</w:t>
      </w:r>
    </w:p>
    <w:p>
      <w:pPr>
        <w:jc w:val="both"/>
      </w:pPr>
      <w:r>
        <w:rPr>
          <w:b/>
          <w:sz w:val="22"/>
        </w:rPr>
        <w:t>甲方：中山大学中山眼科中心</w:t>
      </w:r>
    </w:p>
    <w:p>
      <w:pPr>
        <w:jc w:val="both"/>
      </w:pPr>
      <w:r>
        <w:rPr>
          <w:b/>
          <w:sz w:val="22"/>
        </w:rPr>
        <w:t>乙方：</w:t>
      </w:r>
      <w:r>
        <w:rPr>
          <w:b/>
          <w:sz w:val="22"/>
        </w:rPr>
        <w:t xml:space="preserve">                </w:t>
      </w:r>
    </w:p>
    <w:p>
      <w:pPr>
        <w:jc w:val="both"/>
      </w:pPr>
      <w:r>
        <w:rPr>
          <w:sz w:val="22"/>
        </w:rPr>
        <w:t>甲方联系人：姓名：</w:t>
      </w:r>
      <w:r>
        <w:rPr>
          <w:sz w:val="22"/>
        </w:rPr>
        <w:t xml:space="preserve">         </w:t>
      </w:r>
      <w:r>
        <w:rPr>
          <w:sz w:val="22"/>
        </w:rPr>
        <w:t>电话：</w:t>
      </w:r>
    </w:p>
    <w:p>
      <w:pPr>
        <w:jc w:val="both"/>
      </w:pPr>
      <w:r>
        <w:rPr>
          <w:sz w:val="22"/>
        </w:rPr>
        <w:t xml:space="preserve">            </w:t>
      </w:r>
      <w:r>
        <w:rPr>
          <w:sz w:val="22"/>
        </w:rPr>
        <w:t>地址：广州市天河区金穗路</w:t>
      </w:r>
      <w:r>
        <w:rPr>
          <w:sz w:val="22"/>
        </w:rPr>
        <w:t>7</w:t>
      </w:r>
      <w:r>
        <w:rPr>
          <w:sz w:val="22"/>
        </w:rPr>
        <w:t>号</w:t>
      </w:r>
    </w:p>
    <w:p>
      <w:pPr>
        <w:jc w:val="both"/>
      </w:pPr>
      <w:r>
        <w:rPr>
          <w:sz w:val="22"/>
        </w:rPr>
        <w:t xml:space="preserve">            </w:t>
      </w:r>
      <w:r>
        <w:rPr>
          <w:sz w:val="22"/>
        </w:rPr>
        <w:t>邮政编码：</w:t>
      </w:r>
      <w:r>
        <w:rPr>
          <w:sz w:val="22"/>
        </w:rPr>
        <w:t>510632</w:t>
      </w:r>
    </w:p>
    <w:p>
      <w:pPr>
        <w:jc w:val="both"/>
      </w:pPr>
      <w:r>
        <w:rPr>
          <w:sz w:val="22"/>
        </w:rPr>
        <w:t>乙方联系人：姓名：</w:t>
      </w:r>
      <w:r>
        <w:rPr>
          <w:sz w:val="22"/>
        </w:rPr>
        <w:t xml:space="preserve">         </w:t>
      </w:r>
      <w:r>
        <w:rPr>
          <w:sz w:val="22"/>
        </w:rPr>
        <w:t>电话：</w:t>
      </w:r>
      <w:r>
        <w:rPr>
          <w:sz w:val="22"/>
        </w:rPr>
        <w:t xml:space="preserve">         </w:t>
      </w:r>
      <w:r>
        <w:rPr>
          <w:sz w:val="22"/>
        </w:rPr>
        <w:t>手机：</w:t>
      </w:r>
    </w:p>
    <w:p>
      <w:pPr>
        <w:jc w:val="both"/>
      </w:pPr>
      <w:r>
        <w:rPr>
          <w:sz w:val="22"/>
        </w:rPr>
        <w:t xml:space="preserve">            </w:t>
      </w:r>
      <w:r>
        <w:rPr>
          <w:sz w:val="22"/>
        </w:rPr>
        <w:t>地址：</w:t>
      </w:r>
    </w:p>
    <w:p>
      <w:pPr>
        <w:jc w:val="both"/>
      </w:pPr>
      <w:r>
        <w:rPr>
          <w:sz w:val="22"/>
        </w:rPr>
        <w:t xml:space="preserve">            </w:t>
      </w:r>
      <w:r>
        <w:rPr>
          <w:sz w:val="22"/>
        </w:rPr>
        <w:t>邮政编码</w:t>
      </w:r>
      <w:r>
        <w:rPr>
          <w:b/>
          <w:sz w:val="22"/>
        </w:rPr>
        <w:t>：</w:t>
      </w:r>
    </w:p>
    <w:p>
      <w:pPr>
        <w:jc w:val="both"/>
      </w:pPr>
    </w:p>
    <w:p>
      <w:pPr>
        <w:ind w:firstLine="431"/>
        <w:jc w:val="both"/>
      </w:pPr>
      <w:r>
        <w:rPr>
          <w:sz w:val="22"/>
        </w:rPr>
        <w:t>根据《中华人民共和国民法典》及</w:t>
      </w:r>
      <w:r>
        <w:rPr>
          <w:sz w:val="22"/>
          <w:u w:val="single"/>
        </w:rPr>
        <w:t>项目名称：</w:t>
      </w:r>
      <w:r>
        <w:rPr>
          <w:sz w:val="22"/>
          <w:u w:val="single"/>
        </w:rPr>
        <w:t xml:space="preserve">     </w:t>
      </w:r>
      <w:r>
        <w:rPr>
          <w:sz w:val="22"/>
          <w:u w:val="single"/>
        </w:rPr>
        <w:t>项目编号：</w:t>
      </w:r>
      <w:r>
        <w:rPr>
          <w:sz w:val="22"/>
          <w:u w:val="single"/>
        </w:rPr>
        <w:t xml:space="preserve">       </w:t>
      </w:r>
      <w:r>
        <w:rPr>
          <w:sz w:val="22"/>
        </w:rPr>
        <w:t>的招标结果，经双方协商一致，签订本合同。</w:t>
      </w:r>
    </w:p>
    <w:p>
      <w:pPr>
        <w:jc w:val="both"/>
      </w:pPr>
      <w:r>
        <w:rPr>
          <w:sz w:val="22"/>
        </w:rPr>
        <w:t>一、货物名称及规格型号、数量、价格等。</w:t>
      </w:r>
    </w:p>
    <w:tbl>
      <w:tblPr>
        <w:tblW w:w="0" w:type="auto"/>
        <w:tblBorders>
          <w:top w:val="none" w:color="000000" w:sz="4"/>
          <w:left w:val="none" w:color="000000" w:sz="4"/>
          <w:bottom w:val="none" w:color="000000" w:sz="4"/>
          <w:right w:val="none" w:color="000000" w:sz="4"/>
          <w:insideH w:val="none"/>
          <w:insideV w:val="none"/>
        </w:tblBorders>
      </w:tblPr>
      <w:tblGrid>
        <w:gridCol w:w="1311"/>
        <w:gridCol w:w="1146"/>
        <w:gridCol w:w="2065"/>
        <w:gridCol w:w="769"/>
        <w:gridCol w:w="573"/>
        <w:gridCol w:w="482"/>
        <w:gridCol w:w="980"/>
        <w:gridCol w:w="980"/>
      </w:tblGrid>
      <w:tr>
        <w:tc>
          <w:tcPr>
            <w:tcW w:type="dxa" w:w="1311"/>
            <w:tcBorders>
              <w:top w:val="single" w:color="000000" w:sz="4"/>
              <w:left w:val="single" w:color="000000" w:sz="4"/>
              <w:bottom w:val="single" w:color="000000" w:sz="4"/>
              <w:right w:val="single" w:color="000000" w:sz="4"/>
            </w:tcBorders>
            <w:vAlign w:val="top"/>
          </w:tcPr>
          <w:p>
            <w:pPr>
              <w:jc w:val="center"/>
            </w:pPr>
            <w:r>
              <w:rPr>
                <w:sz w:val="22"/>
              </w:rPr>
              <w:t>设备（货物）</w:t>
            </w:r>
            <w:r>
              <w:rPr>
                <w:sz w:val="22"/>
              </w:rPr>
              <w:t xml:space="preserve"> </w:t>
            </w:r>
            <w:r>
              <w:rPr>
                <w:sz w:val="22"/>
              </w:rPr>
              <w:t>名称</w:t>
            </w:r>
          </w:p>
        </w:tc>
        <w:tc>
          <w:tcPr>
            <w:tcW w:type="dxa" w:w="1146"/>
            <w:tcBorders>
              <w:top w:val="single" w:color="000000" w:sz="4"/>
              <w:left w:val="none" w:color="000000" w:sz="4"/>
              <w:bottom w:val="single" w:color="000000" w:sz="4"/>
              <w:right w:val="single" w:color="000000" w:sz="4"/>
            </w:tcBorders>
            <w:vAlign w:val="top"/>
          </w:tcPr>
          <w:p>
            <w:pPr>
              <w:jc w:val="center"/>
            </w:pPr>
            <w:r>
              <w:rPr>
                <w:sz w:val="22"/>
              </w:rPr>
              <w:t>型号规格</w:t>
            </w:r>
          </w:p>
        </w:tc>
        <w:tc>
          <w:tcPr>
            <w:tcW w:type="dxa" w:w="2065"/>
            <w:tcBorders>
              <w:top w:val="single" w:color="000000" w:sz="4"/>
              <w:left w:val="none" w:color="000000" w:sz="4"/>
              <w:bottom w:val="single" w:color="000000" w:sz="4"/>
              <w:right w:val="single" w:color="000000" w:sz="4"/>
            </w:tcBorders>
            <w:vAlign w:val="top"/>
          </w:tcPr>
          <w:p>
            <w:pPr>
              <w:jc w:val="center"/>
            </w:pPr>
            <w:r>
              <w:rPr>
                <w:sz w:val="22"/>
              </w:rPr>
              <w:t>配置清单</w:t>
            </w:r>
          </w:p>
        </w:tc>
        <w:tc>
          <w:tcPr>
            <w:tcW w:type="dxa" w:w="769"/>
            <w:tcBorders>
              <w:top w:val="single" w:color="000000" w:sz="4"/>
              <w:left w:val="none" w:color="000000" w:sz="4"/>
              <w:bottom w:val="single" w:color="000000" w:sz="4"/>
              <w:right w:val="single" w:color="000000" w:sz="4"/>
            </w:tcBorders>
            <w:vAlign w:val="top"/>
          </w:tcPr>
          <w:p>
            <w:pPr>
              <w:jc w:val="center"/>
            </w:pPr>
            <w:r>
              <w:rPr>
                <w:sz w:val="22"/>
              </w:rPr>
              <w:t>厂家</w:t>
            </w:r>
            <w:r>
              <w:rPr>
                <w:sz w:val="22"/>
              </w:rPr>
              <w:t>/</w:t>
            </w:r>
            <w:r>
              <w:rPr>
                <w:sz w:val="22"/>
              </w:rPr>
              <w:t>产地</w:t>
            </w:r>
          </w:p>
        </w:tc>
        <w:tc>
          <w:tcPr>
            <w:tcW w:type="dxa" w:w="573"/>
            <w:tcBorders>
              <w:top w:val="single" w:color="000000" w:sz="4"/>
              <w:left w:val="none" w:color="000000" w:sz="4"/>
              <w:bottom w:val="single" w:color="000000" w:sz="4"/>
              <w:right w:val="single" w:color="000000" w:sz="4"/>
            </w:tcBorders>
            <w:vAlign w:val="top"/>
          </w:tcPr>
          <w:p>
            <w:pPr>
              <w:jc w:val="center"/>
            </w:pPr>
            <w:r>
              <w:rPr>
                <w:sz w:val="22"/>
              </w:rPr>
              <w:t>数量</w:t>
            </w:r>
          </w:p>
        </w:tc>
        <w:tc>
          <w:tcPr>
            <w:tcW w:type="dxa" w:w="482"/>
            <w:tcBorders>
              <w:top w:val="single" w:color="000000" w:sz="4"/>
              <w:left w:val="none" w:color="000000" w:sz="4"/>
              <w:bottom w:val="single" w:color="000000" w:sz="4"/>
              <w:right w:val="single" w:color="000000" w:sz="4"/>
            </w:tcBorders>
            <w:vAlign w:val="top"/>
          </w:tcPr>
          <w:p>
            <w:pPr>
              <w:jc w:val="center"/>
            </w:pPr>
            <w:r>
              <w:rPr>
                <w:sz w:val="22"/>
              </w:rPr>
              <w:t>单位</w:t>
            </w:r>
          </w:p>
        </w:tc>
        <w:tc>
          <w:tcPr>
            <w:tcW w:type="dxa" w:w="980"/>
            <w:tcBorders>
              <w:top w:val="single" w:color="000000" w:sz="4"/>
              <w:left w:val="none" w:color="000000" w:sz="4"/>
              <w:bottom w:val="single" w:color="000000" w:sz="4"/>
              <w:right w:val="single" w:color="000000" w:sz="4"/>
            </w:tcBorders>
            <w:vAlign w:val="top"/>
          </w:tcPr>
          <w:p>
            <w:pPr>
              <w:jc w:val="center"/>
            </w:pPr>
            <w:r>
              <w:rPr>
                <w:sz w:val="22"/>
              </w:rPr>
              <w:t>单价</w:t>
            </w:r>
          </w:p>
          <w:p>
            <w:pPr>
              <w:jc w:val="center"/>
            </w:pPr>
            <w:r>
              <w:rPr>
                <w:sz w:val="22"/>
              </w:rPr>
              <w:t>（元）</w:t>
            </w:r>
          </w:p>
        </w:tc>
        <w:tc>
          <w:tcPr>
            <w:tcW w:type="dxa" w:w="980"/>
            <w:tcBorders>
              <w:top w:val="single" w:color="000000" w:sz="4"/>
              <w:left w:val="none" w:color="000000" w:sz="4"/>
              <w:bottom w:val="single" w:color="000000" w:sz="4"/>
              <w:right w:val="single" w:color="000000" w:sz="4"/>
            </w:tcBorders>
            <w:vAlign w:val="top"/>
          </w:tcPr>
          <w:p>
            <w:pPr>
              <w:jc w:val="center"/>
            </w:pPr>
            <w:r>
              <w:rPr>
                <w:sz w:val="22"/>
              </w:rPr>
              <w:t>总价</w:t>
            </w:r>
          </w:p>
          <w:p>
            <w:pPr>
              <w:jc w:val="center"/>
            </w:pPr>
            <w:r>
              <w:rPr>
                <w:sz w:val="22"/>
              </w:rPr>
              <w:t>(</w:t>
            </w:r>
            <w:r>
              <w:rPr>
                <w:sz w:val="22"/>
              </w:rPr>
              <w:t>元</w:t>
            </w:r>
            <w:r>
              <w:rPr>
                <w:sz w:val="22"/>
              </w:rPr>
              <w:t>)</w:t>
            </w:r>
          </w:p>
        </w:tc>
      </w:tr>
      <w:tr>
        <w:tc>
          <w:tcPr>
            <w:tcW w:type="dxa" w:w="1311"/>
            <w:tcBorders>
              <w:top w:val="none" w:color="000000" w:sz="4"/>
              <w:left w:val="single" w:color="000000" w:sz="4"/>
              <w:bottom w:val="single" w:color="000000" w:sz="4"/>
              <w:right w:val="single" w:color="000000" w:sz="4"/>
            </w:tcBorders>
            <w:vAlign w:val="top"/>
          </w:tcPr>
          <w:p>
            <w:pPr>
              <w:jc w:val="both"/>
            </w:pPr>
          </w:p>
        </w:tc>
        <w:tc>
          <w:tcPr>
            <w:tcW w:type="dxa" w:w="1146"/>
            <w:tcBorders>
              <w:top w:val="none" w:color="000000" w:sz="4"/>
              <w:left w:val="none" w:color="000000" w:sz="4"/>
              <w:bottom w:val="single" w:color="000000" w:sz="4"/>
              <w:right w:val="single" w:color="000000" w:sz="4"/>
            </w:tcBorders>
            <w:vAlign w:val="top"/>
          </w:tcPr>
          <w:p>
            <w:pPr>
              <w:jc w:val="both"/>
            </w:pPr>
          </w:p>
        </w:tc>
        <w:tc>
          <w:tcPr>
            <w:tcW w:type="dxa" w:w="2065"/>
            <w:tcBorders>
              <w:top w:val="none" w:color="000000" w:sz="4"/>
              <w:left w:val="none" w:color="000000" w:sz="4"/>
              <w:bottom w:val="single" w:color="000000" w:sz="4"/>
              <w:right w:val="single" w:color="000000" w:sz="4"/>
            </w:tcBorders>
            <w:vAlign w:val="top"/>
          </w:tcPr>
          <w:p>
            <w:pPr>
              <w:jc w:val="both"/>
            </w:pPr>
            <w:r>
              <w:rPr>
                <w:sz w:val="22"/>
              </w:rPr>
              <w:t>（</w:t>
            </w:r>
            <w:r>
              <w:rPr>
                <w:sz w:val="22"/>
              </w:rPr>
              <w:t>□</w:t>
            </w:r>
            <w:r>
              <w:rPr>
                <w:sz w:val="22"/>
              </w:rPr>
              <w:t>直接填写；</w:t>
            </w:r>
            <w:r>
              <w:rPr>
                <w:sz w:val="22"/>
              </w:rPr>
              <w:t>□</w:t>
            </w:r>
            <w:r>
              <w:rPr>
                <w:sz w:val="22"/>
              </w:rPr>
              <w:t>按附件格式附表）</w:t>
            </w:r>
          </w:p>
        </w:tc>
        <w:tc>
          <w:tcPr>
            <w:tcW w:type="dxa" w:w="769"/>
            <w:tcBorders>
              <w:top w:val="none" w:color="000000" w:sz="4"/>
              <w:left w:val="none" w:color="000000" w:sz="4"/>
              <w:bottom w:val="single" w:color="000000" w:sz="4"/>
              <w:right w:val="single" w:color="000000" w:sz="4"/>
            </w:tcBorders>
            <w:vAlign w:val="top"/>
          </w:tcPr>
          <w:p>
            <w:pPr>
              <w:jc w:val="both"/>
            </w:pPr>
          </w:p>
        </w:tc>
        <w:tc>
          <w:tcPr>
            <w:tcW w:type="dxa" w:w="573"/>
            <w:tcBorders>
              <w:top w:val="none" w:color="000000" w:sz="4"/>
              <w:left w:val="none" w:color="000000" w:sz="4"/>
              <w:bottom w:val="single" w:color="000000" w:sz="4"/>
              <w:right w:val="single" w:color="000000" w:sz="4"/>
            </w:tcBorders>
            <w:vAlign w:val="top"/>
          </w:tcPr>
          <w:p>
            <w:pPr>
              <w:jc w:val="both"/>
            </w:pPr>
          </w:p>
        </w:tc>
        <w:tc>
          <w:tcPr>
            <w:tcW w:type="dxa" w:w="482"/>
            <w:tcBorders>
              <w:top w:val="none" w:color="000000" w:sz="4"/>
              <w:left w:val="none" w:color="000000" w:sz="4"/>
              <w:bottom w:val="single" w:color="000000" w:sz="4"/>
              <w:right w:val="single" w:color="000000" w:sz="4"/>
            </w:tcBorders>
            <w:vAlign w:val="top"/>
          </w:tcPr>
          <w:p>
            <w:pPr>
              <w:jc w:val="both"/>
            </w:pPr>
          </w:p>
        </w:tc>
        <w:tc>
          <w:tcPr>
            <w:tcW w:type="dxa" w:w="980"/>
            <w:tcBorders>
              <w:top w:val="none" w:color="000000" w:sz="4"/>
              <w:left w:val="none" w:color="000000" w:sz="4"/>
              <w:bottom w:val="single" w:color="000000" w:sz="4"/>
              <w:right w:val="single" w:color="000000" w:sz="4"/>
            </w:tcBorders>
            <w:vAlign w:val="top"/>
          </w:tcPr>
          <w:p>
            <w:pPr>
              <w:jc w:val="both"/>
            </w:pPr>
          </w:p>
        </w:tc>
        <w:tc>
          <w:tcPr>
            <w:tcW w:type="dxa" w:w="980"/>
            <w:tcBorders>
              <w:top w:val="none" w:color="000000" w:sz="4"/>
              <w:left w:val="none" w:color="000000" w:sz="4"/>
              <w:bottom w:val="single" w:color="000000" w:sz="4"/>
              <w:right w:val="single" w:color="000000" w:sz="4"/>
            </w:tcBorders>
            <w:vAlign w:val="top"/>
          </w:tcPr>
          <w:p>
            <w:pPr>
              <w:jc w:val="both"/>
            </w:pPr>
          </w:p>
        </w:tc>
      </w:tr>
      <w:tr>
        <w:tc>
          <w:tcPr>
            <w:tcW w:type="dxa" w:w="1311"/>
            <w:tcBorders>
              <w:top w:val="none" w:color="000000" w:sz="4"/>
              <w:left w:val="single" w:color="000000" w:sz="4"/>
              <w:bottom w:val="single" w:color="000000" w:sz="4"/>
              <w:right w:val="single" w:color="000000" w:sz="4"/>
            </w:tcBorders>
            <w:vAlign w:val="top"/>
          </w:tcPr>
          <w:p>
            <w:pPr>
              <w:jc w:val="both"/>
            </w:pPr>
          </w:p>
        </w:tc>
        <w:tc>
          <w:tcPr>
            <w:tcW w:type="dxa" w:w="1146"/>
            <w:tcBorders>
              <w:top w:val="none" w:color="000000" w:sz="4"/>
              <w:left w:val="none" w:color="000000" w:sz="4"/>
              <w:bottom w:val="single" w:color="000000" w:sz="4"/>
              <w:right w:val="single" w:color="000000" w:sz="4"/>
            </w:tcBorders>
            <w:vAlign w:val="top"/>
          </w:tcPr>
          <w:p>
            <w:pPr>
              <w:jc w:val="both"/>
            </w:pPr>
          </w:p>
        </w:tc>
        <w:tc>
          <w:tcPr>
            <w:tcW w:type="dxa" w:w="2065"/>
            <w:tcBorders>
              <w:top w:val="none" w:color="000000" w:sz="4"/>
              <w:left w:val="none" w:color="000000" w:sz="4"/>
              <w:bottom w:val="single" w:color="000000" w:sz="4"/>
              <w:right w:val="single" w:color="000000" w:sz="4"/>
            </w:tcBorders>
            <w:vAlign w:val="top"/>
          </w:tcPr>
          <w:p>
            <w:pPr>
              <w:jc w:val="center"/>
            </w:pPr>
            <w:r>
              <w:rPr>
                <w:sz w:val="22"/>
              </w:rPr>
              <w:t>（</w:t>
            </w:r>
            <w:r>
              <w:rPr>
                <w:sz w:val="22"/>
              </w:rPr>
              <w:t>□</w:t>
            </w:r>
            <w:r>
              <w:rPr>
                <w:sz w:val="22"/>
              </w:rPr>
              <w:t>直接填写；</w:t>
            </w:r>
            <w:r>
              <w:rPr>
                <w:sz w:val="22"/>
              </w:rPr>
              <w:t>□</w:t>
            </w:r>
            <w:r>
              <w:rPr>
                <w:sz w:val="22"/>
              </w:rPr>
              <w:t>按附件格式附表）</w:t>
            </w:r>
          </w:p>
        </w:tc>
        <w:tc>
          <w:tcPr>
            <w:tcW w:type="dxa" w:w="769"/>
            <w:tcBorders>
              <w:top w:val="none" w:color="000000" w:sz="4"/>
              <w:left w:val="none" w:color="000000" w:sz="4"/>
              <w:bottom w:val="single" w:color="000000" w:sz="4"/>
              <w:right w:val="single" w:color="000000" w:sz="4"/>
            </w:tcBorders>
            <w:vAlign w:val="top"/>
          </w:tcPr>
          <w:p>
            <w:pPr>
              <w:jc w:val="both"/>
            </w:pPr>
          </w:p>
        </w:tc>
        <w:tc>
          <w:tcPr>
            <w:tcW w:type="dxa" w:w="573"/>
            <w:tcBorders>
              <w:top w:val="none" w:color="000000" w:sz="4"/>
              <w:left w:val="none" w:color="000000" w:sz="4"/>
              <w:bottom w:val="single" w:color="000000" w:sz="4"/>
              <w:right w:val="single" w:color="000000" w:sz="4"/>
            </w:tcBorders>
            <w:vAlign w:val="top"/>
          </w:tcPr>
          <w:p>
            <w:pPr>
              <w:jc w:val="both"/>
            </w:pPr>
          </w:p>
        </w:tc>
        <w:tc>
          <w:tcPr>
            <w:tcW w:type="dxa" w:w="482"/>
            <w:tcBorders>
              <w:top w:val="none" w:color="000000" w:sz="4"/>
              <w:left w:val="none" w:color="000000" w:sz="4"/>
              <w:bottom w:val="single" w:color="000000" w:sz="4"/>
              <w:right w:val="single" w:color="000000" w:sz="4"/>
            </w:tcBorders>
            <w:vAlign w:val="top"/>
          </w:tcPr>
          <w:p>
            <w:pPr>
              <w:jc w:val="both"/>
            </w:pPr>
          </w:p>
        </w:tc>
        <w:tc>
          <w:tcPr>
            <w:tcW w:type="dxa" w:w="980"/>
            <w:tcBorders>
              <w:top w:val="none" w:color="000000" w:sz="4"/>
              <w:left w:val="none" w:color="000000" w:sz="4"/>
              <w:bottom w:val="single" w:color="000000" w:sz="4"/>
              <w:right w:val="single" w:color="000000" w:sz="4"/>
            </w:tcBorders>
            <w:vAlign w:val="top"/>
          </w:tcPr>
          <w:p>
            <w:pPr>
              <w:jc w:val="both"/>
            </w:pPr>
          </w:p>
        </w:tc>
        <w:tc>
          <w:tcPr>
            <w:tcW w:type="dxa" w:w="980"/>
            <w:tcBorders>
              <w:top w:val="none" w:color="000000" w:sz="4"/>
              <w:left w:val="none" w:color="000000" w:sz="4"/>
              <w:bottom w:val="single" w:color="000000" w:sz="4"/>
              <w:right w:val="single" w:color="000000" w:sz="4"/>
            </w:tcBorders>
            <w:vAlign w:val="top"/>
          </w:tcPr>
          <w:p>
            <w:pPr>
              <w:jc w:val="both"/>
            </w:pPr>
          </w:p>
        </w:tc>
      </w:tr>
      <w:tr>
        <w:tc>
          <w:tcPr>
            <w:tcW w:type="dxa" w:w="8306"/>
            <w:gridSpan w:val="8"/>
            <w:tcBorders>
              <w:top w:val="none" w:color="000000" w:sz="4"/>
              <w:left w:val="single" w:color="000000" w:sz="4"/>
              <w:bottom w:val="single" w:color="000000" w:sz="4"/>
              <w:right w:val="single" w:color="000000" w:sz="4"/>
            </w:tcBorders>
            <w:vAlign w:val="top"/>
          </w:tcPr>
          <w:p>
            <w:pPr>
              <w:jc w:val="both"/>
            </w:pPr>
            <w:r>
              <w:rPr>
                <w:sz w:val="22"/>
              </w:rPr>
              <w:t>总金额（人民币）：</w:t>
            </w:r>
            <w:r>
              <w:rPr>
                <w:sz w:val="22"/>
              </w:rPr>
              <w:t xml:space="preserve"> </w:t>
            </w:r>
            <w:r>
              <w:rPr>
                <w:sz w:val="22"/>
              </w:rPr>
              <w:t>万</w:t>
            </w:r>
            <w:r>
              <w:rPr>
                <w:sz w:val="22"/>
              </w:rPr>
              <w:t xml:space="preserve"> </w:t>
            </w:r>
            <w:r>
              <w:rPr>
                <w:sz w:val="22"/>
              </w:rPr>
              <w:t>仟</w:t>
            </w:r>
            <w:r>
              <w:rPr>
                <w:sz w:val="22"/>
              </w:rPr>
              <w:t xml:space="preserve"> </w:t>
            </w:r>
            <w:r>
              <w:rPr>
                <w:sz w:val="22"/>
              </w:rPr>
              <w:t>佰</w:t>
            </w:r>
            <w:r>
              <w:rPr>
                <w:sz w:val="22"/>
              </w:rPr>
              <w:t xml:space="preserve"> </w:t>
            </w:r>
            <w:r>
              <w:rPr>
                <w:sz w:val="22"/>
              </w:rPr>
              <w:t>拾</w:t>
            </w:r>
            <w:r>
              <w:rPr>
                <w:sz w:val="22"/>
              </w:rPr>
              <w:t xml:space="preserve"> </w:t>
            </w:r>
            <w:r>
              <w:rPr>
                <w:sz w:val="22"/>
              </w:rPr>
              <w:t>元</w:t>
            </w:r>
            <w:r>
              <w:rPr>
                <w:sz w:val="22"/>
              </w:rPr>
              <w:t xml:space="preserve"> </w:t>
            </w:r>
            <w:r>
              <w:rPr>
                <w:sz w:val="22"/>
              </w:rPr>
              <w:t>角</w:t>
            </w:r>
            <w:r>
              <w:rPr>
                <w:sz w:val="22"/>
              </w:rPr>
              <w:t xml:space="preserve"> </w:t>
            </w:r>
            <w:r>
              <w:rPr>
                <w:sz w:val="22"/>
              </w:rPr>
              <w:t>分</w:t>
            </w:r>
            <w:r>
              <w:rPr>
                <w:sz w:val="22"/>
              </w:rPr>
              <w:t xml:space="preserve">   </w:t>
            </w:r>
            <w:r>
              <w:rPr>
                <w:sz w:val="22"/>
              </w:rPr>
              <w:t>（￥</w:t>
            </w:r>
            <w:r>
              <w:rPr>
                <w:sz w:val="22"/>
              </w:rPr>
              <w:t xml:space="preserve">         </w:t>
            </w:r>
            <w:r>
              <w:rPr>
                <w:sz w:val="22"/>
              </w:rPr>
              <w:t>）</w:t>
            </w:r>
          </w:p>
        </w:tc>
      </w:tr>
    </w:tbl>
    <w:p>
      <w:pPr>
        <w:ind w:firstLine="440"/>
        <w:jc w:val="both"/>
      </w:pPr>
      <w:r>
        <w:rPr>
          <w:sz w:val="22"/>
        </w:rPr>
        <w:t>本合同约定的货物单价已包含购买货物及售后服务所发生的全部费用，包括但不限于运输费、保险费、装卸费、配套资料费、安装调试费用、验收时的试剂耗材、强制性第三方监督检验机构的验收检验费、培训费用以及售后服务费用等。货物单价在本合同履行过程中保持不变，经甲乙双方协商一致以书面形式予以变更的除外。</w:t>
      </w:r>
    </w:p>
    <w:p>
      <w:pPr>
        <w:jc w:val="both"/>
      </w:pPr>
      <w:r>
        <w:rPr>
          <w:sz w:val="22"/>
        </w:rPr>
        <w:t>二、货物质量要求</w:t>
      </w:r>
    </w:p>
    <w:p>
      <w:pPr>
        <w:jc w:val="both"/>
      </w:pPr>
      <w:r>
        <w:rPr>
          <w:sz w:val="22"/>
        </w:rPr>
        <w:t>1</w:t>
      </w:r>
      <w:r>
        <w:rPr>
          <w:sz w:val="22"/>
        </w:rPr>
        <w:t>、乙方提供的货物必须符合</w:t>
      </w:r>
      <w:r>
        <w:rPr>
          <w:sz w:val="22"/>
        </w:rPr>
        <w:t>□</w:t>
      </w:r>
      <w:r>
        <w:rPr>
          <w:sz w:val="22"/>
        </w:rPr>
        <w:t>中华人民共和国国家标准，</w:t>
      </w:r>
      <w:r>
        <w:rPr>
          <w:sz w:val="22"/>
        </w:rPr>
        <w:t>□</w:t>
      </w:r>
      <w:r>
        <w:rPr>
          <w:sz w:val="22"/>
        </w:rPr>
        <w:t>行业标准</w:t>
      </w:r>
      <w:r>
        <w:rPr>
          <w:sz w:val="22"/>
        </w:rPr>
        <w:t>□</w:t>
      </w:r>
      <w:r>
        <w:rPr>
          <w:sz w:val="22"/>
        </w:rPr>
        <w:t>地方标准，</w:t>
      </w:r>
      <w:r>
        <w:rPr>
          <w:sz w:val="22"/>
        </w:rPr>
        <w:t>□</w:t>
      </w:r>
      <w:r>
        <w:rPr>
          <w:sz w:val="22"/>
        </w:rPr>
        <w:t>货物生产商的产品质量标准，</w:t>
      </w:r>
      <w:r>
        <w:rPr>
          <w:sz w:val="22"/>
        </w:rPr>
        <w:t>□</w:t>
      </w:r>
      <w:r>
        <w:rPr>
          <w:sz w:val="22"/>
        </w:rPr>
        <w:t>有关部门制定的相关技术规范，</w:t>
      </w:r>
      <w:r>
        <w:rPr>
          <w:sz w:val="22"/>
        </w:rPr>
        <w:t>□</w:t>
      </w:r>
      <w:r>
        <w:rPr>
          <w:sz w:val="22"/>
        </w:rPr>
        <w:t>符合产品说明书表明的质量状况和使用性能。</w:t>
      </w:r>
    </w:p>
    <w:p>
      <w:pPr>
        <w:jc w:val="both"/>
      </w:pPr>
      <w:r>
        <w:rPr>
          <w:sz w:val="22"/>
        </w:rPr>
        <w:t>2</w:t>
      </w:r>
      <w:r>
        <w:rPr>
          <w:sz w:val="22"/>
        </w:rPr>
        <w:t>、乙方提供的货物必须是全新的，必须具备出厂合格证，且进货渠道合法。</w:t>
      </w:r>
    </w:p>
    <w:p>
      <w:pPr>
        <w:jc w:val="both"/>
      </w:pPr>
      <w:r>
        <w:rPr>
          <w:sz w:val="22"/>
        </w:rPr>
        <w:t>3</w:t>
      </w:r>
      <w:r>
        <w:rPr>
          <w:sz w:val="22"/>
        </w:rPr>
        <w:t>、乙方提供的货物应达到以下技术指标和参数要求：</w:t>
      </w:r>
      <w:r>
        <w:rPr>
          <w:sz w:val="22"/>
        </w:rPr>
        <w:t>□</w:t>
      </w:r>
      <w:r>
        <w:rPr>
          <w:sz w:val="22"/>
        </w:rPr>
        <w:t>按投标文件中作出的承诺；（仅限于通过招投标结果签订的合同）；</w:t>
      </w:r>
      <w:r>
        <w:rPr>
          <w:sz w:val="22"/>
        </w:rPr>
        <w:t>□</w:t>
      </w:r>
      <w:r>
        <w:rPr>
          <w:sz w:val="22"/>
        </w:rPr>
        <w:t>按产品说明书 ；</w:t>
      </w:r>
      <w:r>
        <w:rPr>
          <w:sz w:val="22"/>
        </w:rPr>
        <w:t>□</w:t>
      </w:r>
      <w:r>
        <w:rPr>
          <w:sz w:val="22"/>
        </w:rPr>
        <w:t>详见附件；</w:t>
      </w:r>
      <w:r>
        <w:rPr>
          <w:sz w:val="22"/>
        </w:rPr>
        <w:t>□</w:t>
      </w:r>
      <w:r>
        <w:rPr>
          <w:sz w:val="22"/>
        </w:rPr>
        <w:t>直接在此用文字表述。</w:t>
      </w:r>
    </w:p>
    <w:p>
      <w:pPr>
        <w:jc w:val="both"/>
      </w:pPr>
      <w:r>
        <w:rPr>
          <w:sz w:val="22"/>
        </w:rPr>
        <w:t>4</w:t>
      </w:r>
      <w:r>
        <w:rPr>
          <w:sz w:val="22"/>
        </w:rPr>
        <w:t>、乙方应将关键主机设备的用户手册、保修手册、有关单证资料及配备件、随机工具等交付给甲方，使用操作及安全须知等重要资料应附有中文说明。【备注：中文说明并应明确产品原产地及代理人名称、地址、联系方式及配上产品标签（仪器的名称、规格、型号、日期）等】。</w:t>
      </w:r>
    </w:p>
    <w:p>
      <w:pPr>
        <w:jc w:val="both"/>
      </w:pPr>
      <w:r>
        <w:rPr>
          <w:sz w:val="22"/>
        </w:rPr>
        <w:t>5</w:t>
      </w:r>
      <w:r>
        <w:rPr>
          <w:sz w:val="22"/>
        </w:rPr>
        <w:t>、所提供设备免费开放所有信息接口并无条件配合设备联网实施事宜。</w:t>
      </w:r>
    </w:p>
    <w:p>
      <w:pPr>
        <w:jc w:val="both"/>
      </w:pPr>
      <w:r>
        <w:rPr>
          <w:sz w:val="24"/>
        </w:rPr>
        <w:t>6</w:t>
      </w:r>
      <w:r>
        <w:rPr>
          <w:sz w:val="24"/>
        </w:rPr>
        <w:t>、设备若属国家规定计量强检的项目，须提供有效期内的相关检测报告。</w:t>
      </w:r>
    </w:p>
    <w:p>
      <w:pPr>
        <w:jc w:val="both"/>
      </w:pPr>
    </w:p>
    <w:p>
      <w:pPr>
        <w:jc w:val="both"/>
      </w:pPr>
      <w:r>
        <w:rPr>
          <w:sz w:val="22"/>
        </w:rPr>
        <w:t>三、货物交付及验收</w:t>
      </w:r>
    </w:p>
    <w:p>
      <w:pPr>
        <w:jc w:val="both"/>
      </w:pPr>
      <w:r>
        <w:rPr>
          <w:sz w:val="22"/>
        </w:rPr>
        <w:t>1</w:t>
      </w:r>
      <w:r>
        <w:rPr>
          <w:sz w:val="22"/>
        </w:rPr>
        <w:t>、交货（具体）地点：</w:t>
      </w:r>
      <w:r>
        <w:rPr>
          <w:sz w:val="22"/>
        </w:rPr>
        <w:t>___________________________</w:t>
      </w:r>
    </w:p>
    <w:p>
      <w:pPr>
        <w:ind w:firstLine="431"/>
        <w:jc w:val="both"/>
      </w:pPr>
      <w:r>
        <w:rPr>
          <w:sz w:val="22"/>
        </w:rPr>
        <w:t>交货日期：</w:t>
      </w:r>
      <w:r>
        <w:rPr>
          <w:sz w:val="22"/>
        </w:rPr>
        <w:t>20__</w:t>
      </w:r>
      <w:r>
        <w:rPr>
          <w:sz w:val="22"/>
        </w:rPr>
        <w:t>年</w:t>
      </w:r>
      <w:r>
        <w:rPr>
          <w:sz w:val="22"/>
        </w:rPr>
        <w:t>___</w:t>
      </w:r>
      <w:r>
        <w:rPr>
          <w:sz w:val="22"/>
        </w:rPr>
        <w:t>月</w:t>
      </w:r>
      <w:r>
        <w:rPr>
          <w:sz w:val="22"/>
        </w:rPr>
        <w:t>___</w:t>
      </w:r>
      <w:r>
        <w:rPr>
          <w:sz w:val="22"/>
        </w:rPr>
        <w:t>日</w:t>
      </w:r>
    </w:p>
    <w:p>
      <w:pPr>
        <w:jc w:val="both"/>
      </w:pPr>
      <w:r>
        <w:rPr>
          <w:sz w:val="22"/>
        </w:rPr>
        <w:t>2</w:t>
      </w:r>
      <w:r>
        <w:rPr>
          <w:sz w:val="22"/>
        </w:rPr>
        <w:t>、乙方应在交货时同时向甲方提供与本合同项下货物相符且完整的技术资料，技术资料必须以简体中文书写。</w:t>
      </w:r>
    </w:p>
    <w:p>
      <w:pPr>
        <w:jc w:val="both"/>
      </w:pPr>
      <w:r>
        <w:rPr>
          <w:sz w:val="22"/>
        </w:rPr>
        <w:t>3</w:t>
      </w:r>
      <w:r>
        <w:rPr>
          <w:sz w:val="22"/>
        </w:rPr>
        <w:t>、乙方应保证货物的包装符合运输的要求，足以保护货物在运输过程中不受锈蚀、损坏或灭失。</w:t>
      </w:r>
    </w:p>
    <w:p>
      <w:pPr>
        <w:jc w:val="both"/>
      </w:pPr>
      <w:r>
        <w:rPr>
          <w:sz w:val="22"/>
        </w:rPr>
        <w:t>4</w:t>
      </w:r>
      <w:r>
        <w:rPr>
          <w:sz w:val="22"/>
        </w:rPr>
        <w:t>、乙方负责将货物运输至约定的交货地点并交付予甲方，并支付因运输货物所发生的一切费用，包括但不限于运输费、保险费、装卸费等。</w:t>
      </w:r>
    </w:p>
    <w:p>
      <w:pPr>
        <w:jc w:val="both"/>
      </w:pPr>
      <w:r>
        <w:rPr>
          <w:sz w:val="22"/>
        </w:rPr>
        <w:t>5</w:t>
      </w:r>
      <w:r>
        <w:rPr>
          <w:sz w:val="22"/>
        </w:rPr>
        <w:t>、乙方应委派技术人员进行现场安装、调试，并提供货物安装调试的一切技术支持。安装调试的具体时间由甲方提前</w:t>
      </w:r>
      <w:r>
        <w:rPr>
          <w:sz w:val="22"/>
        </w:rPr>
        <w:t>3</w:t>
      </w:r>
      <w:r>
        <w:rPr>
          <w:sz w:val="22"/>
        </w:rPr>
        <w:t>天通知乙方。</w:t>
      </w:r>
    </w:p>
    <w:p>
      <w:pPr>
        <w:jc w:val="both"/>
      </w:pPr>
      <w:r>
        <w:rPr>
          <w:sz w:val="22"/>
        </w:rPr>
        <w:t>6</w:t>
      </w:r>
      <w:r>
        <w:rPr>
          <w:sz w:val="22"/>
        </w:rPr>
        <w:t>、在货物安装调试完毕后，甲方在</w:t>
      </w:r>
      <w:r>
        <w:rPr>
          <w:sz w:val="22"/>
        </w:rPr>
        <w:t>____</w:t>
      </w:r>
      <w:r>
        <w:rPr>
          <w:sz w:val="22"/>
        </w:rPr>
        <w:t>天内对货物进行验收。验收内容包括但不限于：（</w:t>
      </w:r>
      <w:r>
        <w:rPr>
          <w:sz w:val="22"/>
        </w:rPr>
        <w:t>1</w:t>
      </w:r>
      <w:r>
        <w:rPr>
          <w:sz w:val="22"/>
        </w:rPr>
        <w:t>） 型号、数量及外观；（</w:t>
      </w:r>
      <w:r>
        <w:rPr>
          <w:sz w:val="22"/>
        </w:rPr>
        <w:t>2</w:t>
      </w:r>
      <w:r>
        <w:rPr>
          <w:sz w:val="22"/>
        </w:rPr>
        <w:t>） 货物所附技术资料；</w:t>
      </w:r>
      <w:r>
        <w:rPr>
          <w:sz w:val="22"/>
        </w:rPr>
        <w:t>（</w:t>
      </w:r>
      <w:r>
        <w:rPr>
          <w:sz w:val="22"/>
        </w:rPr>
        <w:t>3</w:t>
      </w:r>
      <w:r>
        <w:rPr>
          <w:sz w:val="22"/>
        </w:rPr>
        <w:t>） 货物组件及配置； （</w:t>
      </w:r>
      <w:r>
        <w:rPr>
          <w:sz w:val="22"/>
        </w:rPr>
        <w:t>4</w:t>
      </w:r>
      <w:r>
        <w:rPr>
          <w:sz w:val="22"/>
        </w:rPr>
        <w:t>） 货物功能、性能及各项技术参数指标。</w:t>
      </w:r>
    </w:p>
    <w:p>
      <w:pPr>
        <w:jc w:val="both"/>
      </w:pPr>
      <w:r>
        <w:rPr>
          <w:sz w:val="22"/>
        </w:rPr>
        <w:t>7</w:t>
      </w:r>
      <w:r>
        <w:rPr>
          <w:sz w:val="22"/>
        </w:rPr>
        <w:t>、验收标准：</w:t>
      </w:r>
    </w:p>
    <w:p>
      <w:pPr>
        <w:ind w:firstLine="440"/>
        <w:jc w:val="both"/>
      </w:pPr>
      <w:r>
        <w:rPr>
          <w:color w:val="000000"/>
          <w:sz w:val="22"/>
        </w:rPr>
        <w:t>投标人应根据所提交的验收方案和实施办法，自行组织设备和人员，并在使用单位监查下现场进行测试和验收。</w:t>
      </w:r>
    </w:p>
    <w:p>
      <w:pPr>
        <w:jc w:val="both"/>
      </w:pPr>
      <w:r>
        <w:rPr>
          <w:color w:val="000000"/>
          <w:sz w:val="22"/>
        </w:rPr>
        <w:t>（</w:t>
      </w:r>
      <w:r>
        <w:rPr>
          <w:color w:val="000000"/>
          <w:sz w:val="22"/>
        </w:rPr>
        <w:t>1</w:t>
      </w:r>
      <w:r>
        <w:rPr>
          <w:color w:val="000000"/>
          <w:sz w:val="22"/>
        </w:rPr>
        <w:t>）开箱检验</w:t>
      </w:r>
    </w:p>
    <w:p>
      <w:pPr>
        <w:jc w:val="both"/>
      </w:pPr>
      <w:r>
        <w:rPr>
          <w:color w:val="000000"/>
          <w:sz w:val="22"/>
        </w:rPr>
        <w:t>1</w:t>
      </w:r>
      <w:r>
        <w:rPr>
          <w:color w:val="000000"/>
          <w:sz w:val="22"/>
        </w:rPr>
        <w:t>）所有设备、器材在开箱时必须完好，无破损。配置与装箱单相符。数量、质量及性能不低于合同要求。</w:t>
      </w:r>
    </w:p>
    <w:p>
      <w:pPr>
        <w:jc w:val="both"/>
      </w:pPr>
      <w:r>
        <w:rPr>
          <w:color w:val="000000"/>
          <w:sz w:val="22"/>
        </w:rPr>
        <w:t>2</w:t>
      </w:r>
      <w:r>
        <w:rPr>
          <w:color w:val="000000"/>
          <w:sz w:val="22"/>
        </w:rPr>
        <w:t>）拆箱后，投标人应对其全部产品、零件、配件、用户许可证书、资料、介质造册登记，并与装箱单对比，如有出入应立即书面记录，由供货商解决，如影响安装则按合同有关条款处理。</w:t>
      </w:r>
    </w:p>
    <w:p>
      <w:pPr>
        <w:jc w:val="both"/>
      </w:pPr>
      <w:r>
        <w:rPr>
          <w:color w:val="000000"/>
          <w:sz w:val="22"/>
        </w:rPr>
        <w:t>（</w:t>
      </w:r>
      <w:r>
        <w:rPr>
          <w:color w:val="000000"/>
          <w:sz w:val="22"/>
        </w:rPr>
        <w:t>2</w:t>
      </w:r>
      <w:r>
        <w:rPr>
          <w:color w:val="000000"/>
          <w:sz w:val="22"/>
        </w:rPr>
        <w:t>）设备测试</w:t>
      </w:r>
    </w:p>
    <w:p>
      <w:pPr>
        <w:jc w:val="both"/>
      </w:pPr>
      <w:r>
        <w:rPr>
          <w:color w:val="000000"/>
          <w:sz w:val="22"/>
        </w:rPr>
        <w:t>设备安装完成后，按照系统要求的基本功能逐一测试。</w:t>
      </w:r>
    </w:p>
    <w:p>
      <w:pPr>
        <w:jc w:val="both"/>
      </w:pPr>
      <w:r>
        <w:rPr>
          <w:color w:val="000000"/>
          <w:sz w:val="22"/>
        </w:rPr>
        <w:t>1</w:t>
      </w:r>
      <w:r>
        <w:rPr>
          <w:color w:val="000000"/>
          <w:sz w:val="22"/>
        </w:rPr>
        <w:t>）系统运行正常，联机测试通过。</w:t>
      </w:r>
    </w:p>
    <w:p>
      <w:pPr>
        <w:jc w:val="both"/>
      </w:pPr>
      <w:r>
        <w:rPr>
          <w:color w:val="000000"/>
          <w:sz w:val="22"/>
        </w:rPr>
        <w:t>2</w:t>
      </w:r>
      <w:r>
        <w:rPr>
          <w:color w:val="000000"/>
          <w:sz w:val="22"/>
        </w:rPr>
        <w:t>）如商检或设备测试中发现设备性能指标或功能上不符合招标文件和合同时，将被看作性能不合格，设备使用单位有权拒收并要求赔偿。</w:t>
      </w:r>
    </w:p>
    <w:p>
      <w:pPr>
        <w:jc w:val="both"/>
      </w:pPr>
      <w:r>
        <w:rPr>
          <w:color w:val="000000"/>
          <w:sz w:val="22"/>
        </w:rPr>
        <w:t>3</w:t>
      </w:r>
      <w:r>
        <w:rPr>
          <w:color w:val="000000"/>
          <w:sz w:val="22"/>
        </w:rPr>
        <w:t>）投标人应负责在项目验收时将系统的全部有关产品说明书、原厂家安装手册、技术文件、资料、及安装、验收报告等文档交付设备使用单位。</w:t>
      </w:r>
    </w:p>
    <w:p>
      <w:pPr>
        <w:jc w:val="both"/>
      </w:pPr>
      <w:r>
        <w:rPr>
          <w:color w:val="000000"/>
          <w:sz w:val="22"/>
        </w:rPr>
        <w:t>（</w:t>
      </w:r>
      <w:r>
        <w:rPr>
          <w:color w:val="000000"/>
          <w:sz w:val="22"/>
        </w:rPr>
        <w:t>3</w:t>
      </w:r>
      <w:r>
        <w:rPr>
          <w:color w:val="000000"/>
          <w:sz w:val="22"/>
        </w:rPr>
        <w:t>）产品验收要求</w:t>
      </w:r>
    </w:p>
    <w:p>
      <w:pPr>
        <w:jc w:val="both"/>
      </w:pPr>
      <w:r>
        <w:rPr>
          <w:color w:val="000000"/>
          <w:sz w:val="22"/>
        </w:rPr>
        <w:t>1</w:t>
      </w:r>
      <w:r>
        <w:rPr>
          <w:color w:val="000000"/>
          <w:sz w:val="22"/>
        </w:rPr>
        <w:t>）要求对全部设备、产品、型号、规格、数量、外型、外观、包装及资料、文件（如装箱单、保修单、随箱介质等）的验收。</w:t>
      </w:r>
    </w:p>
    <w:p>
      <w:pPr>
        <w:jc w:val="both"/>
      </w:pPr>
      <w:r>
        <w:rPr>
          <w:color w:val="000000"/>
          <w:sz w:val="22"/>
        </w:rPr>
        <w:t>2</w:t>
      </w:r>
      <w:r>
        <w:rPr>
          <w:color w:val="000000"/>
          <w:sz w:val="22"/>
        </w:rPr>
        <w:t>）凡列入《中华人民共和国实施强制性产品认证的产品目录》的产品在验收时出具</w:t>
      </w:r>
      <w:r>
        <w:rPr>
          <w:color w:val="000000"/>
          <w:sz w:val="22"/>
        </w:rPr>
        <w:t>CCC</w:t>
      </w:r>
      <w:r>
        <w:rPr>
          <w:color w:val="000000"/>
          <w:sz w:val="22"/>
        </w:rPr>
        <w:t>认证证书复印件，并以在产品外部加施认证标志作为验收依据之一。</w:t>
      </w:r>
    </w:p>
    <w:p>
      <w:pPr>
        <w:jc w:val="both"/>
      </w:pPr>
      <w:r>
        <w:rPr>
          <w:color w:val="000000"/>
          <w:sz w:val="22"/>
        </w:rPr>
        <w:t>3</w:t>
      </w:r>
      <w:r>
        <w:rPr>
          <w:color w:val="000000"/>
          <w:sz w:val="22"/>
        </w:rPr>
        <w:t>）投标人应负责在项目验收时将系统的全部有关产品说明书、原厂家安装手册、技术文件、资料、及安装、验收报告等文档汇集成册交付设备使用单位。</w:t>
      </w:r>
    </w:p>
    <w:p>
      <w:pPr>
        <w:jc w:val="both"/>
      </w:pPr>
      <w:r>
        <w:rPr>
          <w:b/>
          <w:sz w:val="22"/>
        </w:rPr>
        <w:t>3</w:t>
      </w:r>
      <w:r>
        <w:rPr>
          <w:b/>
          <w:sz w:val="22"/>
        </w:rPr>
        <w:t>、维保售后服务及质量保证</w:t>
      </w:r>
    </w:p>
    <w:p>
      <w:pPr>
        <w:jc w:val="both"/>
      </w:pPr>
      <w:r>
        <w:rPr>
          <w:b/>
          <w:color w:val="000000"/>
          <w:sz w:val="22"/>
        </w:rPr>
        <w:t>1</w:t>
      </w:r>
      <w:r>
        <w:rPr>
          <w:b/>
          <w:color w:val="000000"/>
          <w:sz w:val="22"/>
        </w:rPr>
        <w:t>） 所有产品均需提供至少</w:t>
      </w:r>
      <w:r>
        <w:rPr>
          <w:b/>
          <w:color w:val="000000"/>
          <w:sz w:val="22"/>
        </w:rPr>
        <w:t>2</w:t>
      </w:r>
      <w:r>
        <w:rPr>
          <w:b/>
          <w:color w:val="000000"/>
          <w:sz w:val="22"/>
        </w:rPr>
        <w:t>年质量保证和免费上门保修服务。</w:t>
      </w:r>
    </w:p>
    <w:p>
      <w:pPr>
        <w:jc w:val="both"/>
      </w:pPr>
      <w:r>
        <w:rPr>
          <w:color w:val="000000"/>
          <w:sz w:val="22"/>
        </w:rPr>
        <w:t>2</w:t>
      </w:r>
      <w:r>
        <w:rPr>
          <w:color w:val="000000"/>
          <w:sz w:val="22"/>
        </w:rPr>
        <w:t>） 保修期内，所有硬件设备及其配件的维修均为免费。</w:t>
      </w:r>
    </w:p>
    <w:p>
      <w:pPr>
        <w:jc w:val="both"/>
      </w:pPr>
      <w:r>
        <w:rPr>
          <w:color w:val="000000"/>
          <w:sz w:val="22"/>
        </w:rPr>
        <w:t>3</w:t>
      </w:r>
      <w:r>
        <w:rPr>
          <w:color w:val="000000"/>
          <w:sz w:val="22"/>
        </w:rPr>
        <w:t>）设备故障报修的响应时间：每天</w:t>
      </w:r>
      <w:r>
        <w:rPr>
          <w:color w:val="000000"/>
          <w:sz w:val="22"/>
        </w:rPr>
        <w:t>8:00</w:t>
      </w:r>
      <w:r>
        <w:rPr>
          <w:color w:val="000000"/>
          <w:sz w:val="22"/>
        </w:rPr>
        <w:t>～</w:t>
      </w:r>
      <w:r>
        <w:rPr>
          <w:color w:val="000000"/>
          <w:sz w:val="22"/>
        </w:rPr>
        <w:t>18:00</w:t>
      </w:r>
      <w:r>
        <w:rPr>
          <w:color w:val="000000"/>
          <w:sz w:val="22"/>
        </w:rPr>
        <w:t>期间为</w:t>
      </w:r>
      <w:r>
        <w:rPr>
          <w:color w:val="000000"/>
          <w:sz w:val="22"/>
        </w:rPr>
        <w:t>2</w:t>
      </w:r>
      <w:r>
        <w:rPr>
          <w:color w:val="000000"/>
          <w:sz w:val="22"/>
        </w:rPr>
        <w:t>小时。其余期间为</w:t>
      </w:r>
      <w:r>
        <w:rPr>
          <w:color w:val="000000"/>
          <w:sz w:val="22"/>
        </w:rPr>
        <w:t>8</w:t>
      </w:r>
      <w:r>
        <w:rPr>
          <w:color w:val="000000"/>
          <w:sz w:val="22"/>
        </w:rPr>
        <w:t>小时。如果设备故障在检修</w:t>
      </w:r>
      <w:r>
        <w:rPr>
          <w:color w:val="000000"/>
          <w:sz w:val="22"/>
        </w:rPr>
        <w:t>8</w:t>
      </w:r>
      <w:r>
        <w:rPr>
          <w:color w:val="000000"/>
          <w:sz w:val="22"/>
        </w:rPr>
        <w:t>小时后仍无法排除，中标人应在</w:t>
      </w:r>
      <w:r>
        <w:rPr>
          <w:color w:val="000000"/>
          <w:sz w:val="22"/>
        </w:rPr>
        <w:t>48</w:t>
      </w:r>
      <w:r>
        <w:rPr>
          <w:color w:val="000000"/>
          <w:sz w:val="22"/>
        </w:rPr>
        <w:t>小时内提供不低于故障设备规格型号档次的备用设备供采购人使用，直至故障设备修复。</w:t>
      </w:r>
    </w:p>
    <w:p>
      <w:pPr>
        <w:jc w:val="both"/>
      </w:pPr>
      <w:r>
        <w:rPr>
          <w:color w:val="000000"/>
          <w:sz w:val="22"/>
        </w:rPr>
        <w:t>4</w:t>
      </w:r>
      <w:r>
        <w:rPr>
          <w:color w:val="000000"/>
          <w:sz w:val="22"/>
        </w:rPr>
        <w:t>）保修期内，所有设备维修服务均为原厂上门服务，由此产生的费用均不再收取。</w:t>
      </w:r>
    </w:p>
    <w:p>
      <w:pPr>
        <w:jc w:val="both"/>
      </w:pPr>
      <w:r>
        <w:rPr>
          <w:sz w:val="22"/>
        </w:rPr>
        <w:t>四、付款方式：</w:t>
      </w:r>
    </w:p>
    <w:p>
      <w:pPr>
        <w:jc w:val="both"/>
      </w:pPr>
      <w:r>
        <w:rPr>
          <w:color w:val="000000"/>
          <w:sz w:val="22"/>
        </w:rPr>
        <w:t>1</w:t>
      </w:r>
      <w:r>
        <w:rPr>
          <w:color w:val="000000"/>
          <w:sz w:val="22"/>
        </w:rPr>
        <w:t>）结算货币：人民币。</w:t>
      </w:r>
    </w:p>
    <w:p>
      <w:pPr>
        <w:jc w:val="both"/>
      </w:pPr>
      <w:r>
        <w:rPr>
          <w:color w:val="000000"/>
          <w:sz w:val="22"/>
        </w:rPr>
        <w:t>2</w:t>
      </w:r>
      <w:r>
        <w:rPr>
          <w:color w:val="000000"/>
          <w:sz w:val="22"/>
        </w:rPr>
        <w:t>）合同签订后</w:t>
      </w:r>
      <w:r>
        <w:rPr>
          <w:color w:val="000000"/>
          <w:sz w:val="22"/>
        </w:rPr>
        <w:t>,</w:t>
      </w:r>
      <w:r>
        <w:rPr>
          <w:color w:val="000000"/>
          <w:sz w:val="22"/>
        </w:rPr>
        <w:t>金额预付</w:t>
      </w:r>
      <w:r>
        <w:rPr>
          <w:color w:val="000000"/>
          <w:sz w:val="22"/>
        </w:rPr>
        <w:t>30</w:t>
      </w:r>
      <w:r>
        <w:rPr>
          <w:color w:val="000000"/>
          <w:sz w:val="22"/>
        </w:rPr>
        <w:t>％，在合同期内供货；待货到安装、培训、运行且验收合格后（</w:t>
      </w:r>
      <w:r>
        <w:rPr>
          <w:color w:val="000000"/>
          <w:sz w:val="22"/>
        </w:rPr>
        <w:t>90</w:t>
      </w:r>
      <w:r>
        <w:rPr>
          <w:color w:val="000000"/>
          <w:sz w:val="22"/>
        </w:rPr>
        <w:t>天内）付至合同总额的百分之九十五，余款待仪器运行一年无故障并经使用部门及职能科室确认后一次付清。</w:t>
      </w:r>
    </w:p>
    <w:p>
      <w:pPr>
        <w:jc w:val="both"/>
      </w:pPr>
      <w:r>
        <w:rPr>
          <w:sz w:val="22"/>
        </w:rPr>
        <w:t>五、售后服务条款</w:t>
      </w:r>
    </w:p>
    <w:p>
      <w:pPr>
        <w:jc w:val="both"/>
      </w:pPr>
      <w:r>
        <w:rPr>
          <w:sz w:val="22"/>
        </w:rPr>
        <w:t>1</w:t>
      </w:r>
      <w:r>
        <w:rPr>
          <w:sz w:val="22"/>
        </w:rPr>
        <w:t>、保修期限：乙方免费保修期为</w:t>
      </w:r>
      <w:r>
        <w:rPr>
          <w:sz w:val="21"/>
          <w:u w:val="single"/>
        </w:rPr>
        <w:t xml:space="preserve">    </w:t>
      </w:r>
      <w:r>
        <w:rPr>
          <w:sz w:val="22"/>
        </w:rPr>
        <w:t>年，保修承担方为</w:t>
      </w:r>
      <w:r>
        <w:rPr>
          <w:sz w:val="22"/>
        </w:rPr>
        <w:t>__________________</w:t>
      </w:r>
      <w:r>
        <w:rPr>
          <w:sz w:val="22"/>
        </w:rPr>
        <w:t>。（保修期限自验收合格签字之日起算，其中</w:t>
      </w:r>
      <w:r>
        <w:rPr>
          <w:sz w:val="22"/>
        </w:rPr>
        <w:t>10</w:t>
      </w:r>
      <w:r>
        <w:rPr>
          <w:sz w:val="22"/>
        </w:rPr>
        <w:t>万元以上以甲方职能部门确认并出具的验收报告的验收时间为准。）</w:t>
      </w:r>
    </w:p>
    <w:p>
      <w:pPr>
        <w:jc w:val="both"/>
      </w:pPr>
      <w:r>
        <w:rPr>
          <w:sz w:val="22"/>
        </w:rPr>
        <w:t>2</w:t>
      </w:r>
      <w:r>
        <w:rPr>
          <w:sz w:val="22"/>
        </w:rPr>
        <w:t>、保修方式：上门保修。其他条款以投标文件承诺的为准。</w:t>
      </w:r>
    </w:p>
    <w:p>
      <w:pPr>
        <w:jc w:val="both"/>
      </w:pPr>
      <w:r>
        <w:rPr>
          <w:sz w:val="24"/>
        </w:rPr>
        <w:t>3</w:t>
      </w:r>
      <w:r>
        <w:rPr>
          <w:sz w:val="24"/>
        </w:rPr>
        <w:t>、免费保修期届满后，如甲方需要乙方继续提供维护服务，由甲乙双方另行协商。（由甲方用户与乙方商量后确定是否保留此条目，并列明具体的条件）</w:t>
      </w:r>
    </w:p>
    <w:p>
      <w:pPr>
        <w:jc w:val="both"/>
      </w:pPr>
    </w:p>
    <w:p>
      <w:pPr>
        <w:jc w:val="both"/>
      </w:pPr>
      <w:r>
        <w:rPr>
          <w:sz w:val="22"/>
        </w:rPr>
        <w:t>六、违约责任：</w:t>
      </w:r>
    </w:p>
    <w:p>
      <w:pPr>
        <w:jc w:val="both"/>
      </w:pPr>
      <w:r>
        <w:rPr>
          <w:sz w:val="22"/>
        </w:rPr>
        <w:t>1</w:t>
      </w:r>
      <w:r>
        <w:rPr>
          <w:sz w:val="22"/>
        </w:rPr>
        <w:t>、甲乙双方均应全面履行本合同，任何一方未能按照本合同的约定履行自己的义务，应当承担违约责任。违约方应当赔偿守约方因此遭受的损失，包括但不限于守约方的直接经济损失、间接经济损失、守约方为追究违约责任所发生的律师费、差旅费、交通费等。</w:t>
      </w:r>
    </w:p>
    <w:p>
      <w:pPr>
        <w:jc w:val="both"/>
      </w:pPr>
      <w:r>
        <w:rPr>
          <w:sz w:val="22"/>
        </w:rPr>
        <w:t>2</w:t>
      </w:r>
      <w:r>
        <w:rPr>
          <w:sz w:val="22"/>
        </w:rPr>
        <w:t>、乙方交付的货物不符合合同规定，又不调换的，甲方有权拒收，乙方需向甲方支付货款总金额</w:t>
      </w:r>
      <w:r>
        <w:rPr>
          <w:sz w:val="22"/>
        </w:rPr>
        <w:t>5%</w:t>
      </w:r>
      <w:r>
        <w:rPr>
          <w:sz w:val="22"/>
        </w:rPr>
        <w:t>的违约金。</w:t>
      </w:r>
    </w:p>
    <w:p>
      <w:pPr>
        <w:jc w:val="both"/>
      </w:pPr>
      <w:r>
        <w:rPr>
          <w:sz w:val="22"/>
        </w:rPr>
        <w:t>3</w:t>
      </w:r>
      <w:r>
        <w:rPr>
          <w:sz w:val="22"/>
        </w:rPr>
        <w:t>、甲方无正当理由拒收货物，拒付货款的，甲方需向乙方偿付货款总金额的</w:t>
      </w:r>
      <w:r>
        <w:rPr>
          <w:sz w:val="22"/>
        </w:rPr>
        <w:t>5%</w:t>
      </w:r>
      <w:r>
        <w:rPr>
          <w:sz w:val="22"/>
        </w:rPr>
        <w:t>违约金。</w:t>
      </w:r>
    </w:p>
    <w:p>
      <w:pPr>
        <w:jc w:val="both"/>
      </w:pPr>
      <w:r>
        <w:rPr>
          <w:sz w:val="22"/>
        </w:rPr>
        <w:t>4</w:t>
      </w:r>
      <w:r>
        <w:rPr>
          <w:sz w:val="22"/>
        </w:rPr>
        <w:t>、乙方逾期交付货物的，则每天按合同总额的</w:t>
      </w:r>
      <w:r>
        <w:rPr>
          <w:sz w:val="22"/>
        </w:rPr>
        <w:t>3‰</w:t>
      </w:r>
      <w:r>
        <w:rPr>
          <w:sz w:val="22"/>
        </w:rPr>
        <w:t>向甲方支付违约金。逾期交付超过</w:t>
      </w:r>
      <w:r>
        <w:rPr>
          <w:sz w:val="22"/>
        </w:rPr>
        <w:t>5</w:t>
      </w:r>
      <w:r>
        <w:rPr>
          <w:sz w:val="22"/>
        </w:rPr>
        <w:t>天，买方有权终止合同。</w:t>
      </w:r>
    </w:p>
    <w:p>
      <w:pPr>
        <w:jc w:val="both"/>
      </w:pPr>
      <w:r>
        <w:rPr>
          <w:sz w:val="22"/>
        </w:rPr>
        <w:t>5</w:t>
      </w:r>
      <w:r>
        <w:rPr>
          <w:sz w:val="22"/>
        </w:rPr>
        <w:t>、若乙方未按本合同的约定提供保修服务，甲方有权自行委托第三方提供甲方所需要的技术支持和售后服务，所发生的费用由乙方承担，如因此造成甲方损失的，乙方应承担赔偿责任。</w:t>
      </w:r>
    </w:p>
    <w:p>
      <w:pPr>
        <w:jc w:val="both"/>
      </w:pPr>
      <w:r>
        <w:rPr>
          <w:sz w:val="22"/>
        </w:rPr>
        <w:t>七、权利瑕疵担保</w:t>
      </w:r>
    </w:p>
    <w:p>
      <w:pPr>
        <w:jc w:val="both"/>
      </w:pPr>
      <w:r>
        <w:rPr>
          <w:sz w:val="24"/>
        </w:rPr>
        <w:t xml:space="preserve">  1</w:t>
      </w:r>
      <w:r>
        <w:rPr>
          <w:sz w:val="24"/>
        </w:rPr>
        <w:t>、乙方应就交付的货物，保证甲方免受任何第三方主张任何权利。</w:t>
      </w:r>
    </w:p>
    <w:p>
      <w:pPr>
        <w:jc w:val="both"/>
      </w:pPr>
      <w:r>
        <w:rPr>
          <w:sz w:val="24"/>
        </w:rPr>
        <w:t xml:space="preserve">  2</w:t>
      </w:r>
      <w:r>
        <w:rPr>
          <w:sz w:val="24"/>
        </w:rPr>
        <w:t>、如第三人对合同标的物主张所有权或知识产权的侵权损害赔偿请求，甲方有权解除合同，并追究乙方的违约责任。</w:t>
      </w:r>
    </w:p>
    <w:p>
      <w:pPr>
        <w:jc w:val="both"/>
      </w:pPr>
      <w:r>
        <w:rPr>
          <w:sz w:val="24"/>
        </w:rPr>
        <w:t xml:space="preserve">  3</w:t>
      </w:r>
      <w:r>
        <w:rPr>
          <w:sz w:val="24"/>
        </w:rPr>
        <w:t>、在合同履行过程中，甲方有确切证据证明第三方可能就合同标的物主张权利的，甲方有权中止支付相应的价款，但乙方提供适当担保的除外。</w:t>
      </w:r>
    </w:p>
    <w:p>
      <w:pPr>
        <w:jc w:val="both"/>
      </w:pPr>
      <w:r>
        <w:rPr>
          <w:sz w:val="24"/>
        </w:rPr>
        <w:t xml:space="preserve">  4</w:t>
      </w:r>
      <w:r>
        <w:rPr>
          <w:sz w:val="24"/>
        </w:rPr>
        <w:t>、因为第三方对甲方主张权利而发生的纠纷，乙方应承担相应的法律责任和诉讼费用、律师费用、其他为解除纠纷而发生的费用以及由此给甲方造成的经济损失。</w:t>
      </w:r>
    </w:p>
    <w:p>
      <w:pPr>
        <w:jc w:val="both"/>
      </w:pPr>
    </w:p>
    <w:p>
      <w:pPr>
        <w:jc w:val="both"/>
      </w:pPr>
      <w:r>
        <w:rPr>
          <w:sz w:val="24"/>
        </w:rPr>
        <w:t>八、风险承担</w:t>
      </w:r>
    </w:p>
    <w:p>
      <w:pPr>
        <w:jc w:val="both"/>
      </w:pPr>
      <w:r>
        <w:rPr>
          <w:sz w:val="24"/>
        </w:rPr>
        <w:t xml:space="preserve">  1</w:t>
      </w:r>
      <w:r>
        <w:rPr>
          <w:sz w:val="24"/>
        </w:rPr>
        <w:t>、货物毁损、灭失的风险，在货物经甲方验收合格以前由乙方承担，在货物经甲方验收合格以后由甲方承担。</w:t>
      </w:r>
    </w:p>
    <w:p>
      <w:pPr>
        <w:jc w:val="both"/>
      </w:pPr>
      <w:r>
        <w:rPr>
          <w:sz w:val="24"/>
        </w:rPr>
        <w:t xml:space="preserve">  2</w:t>
      </w:r>
      <w:r>
        <w:rPr>
          <w:sz w:val="24"/>
        </w:rPr>
        <w:t>、甲方因货物质量不符合约定的质量要求而拒绝接受货物或解除合同的，货物毁损、灭失的风险由乙方承担。</w:t>
      </w:r>
    </w:p>
    <w:p>
      <w:pPr>
        <w:jc w:val="both"/>
      </w:pPr>
      <w:r>
        <w:rPr>
          <w:sz w:val="24"/>
        </w:rPr>
        <w:t xml:space="preserve">  3</w:t>
      </w:r>
      <w:r>
        <w:rPr>
          <w:sz w:val="24"/>
        </w:rPr>
        <w:t>、货物毁损、灭失的风险由甲方承担的，不影响因乙方履行合同义务不符合约定的，甲方要求其承担违约责任的权利。</w:t>
      </w:r>
    </w:p>
    <w:p>
      <w:pPr>
        <w:jc w:val="both"/>
      </w:pPr>
      <w:r>
        <w:rPr>
          <w:sz w:val="24"/>
        </w:rPr>
        <w:t xml:space="preserve">  4</w:t>
      </w:r>
      <w:r>
        <w:rPr>
          <w:sz w:val="24"/>
        </w:rPr>
        <w:t>、由乙方承担货物毁损、灭失风险的，如货物毁损或灭失的，乙方应于</w:t>
      </w:r>
      <w:r>
        <w:rPr>
          <w:sz w:val="24"/>
        </w:rPr>
        <w:t>___</w:t>
      </w:r>
      <w:r>
        <w:rPr>
          <w:sz w:val="24"/>
        </w:rPr>
        <w:t>天内重新提供符合合同规定的货物，否则，视为乙方逾期交货。</w:t>
      </w:r>
    </w:p>
    <w:p>
      <w:pPr>
        <w:jc w:val="both"/>
      </w:pPr>
      <w:r>
        <w:rPr>
          <w:sz w:val="24"/>
        </w:rPr>
        <w:t xml:space="preserve">  5</w:t>
      </w:r>
      <w:r>
        <w:rPr>
          <w:sz w:val="24"/>
        </w:rPr>
        <w:t>、由甲方承担货物毁损、灭失风险的，则甲方不能免除给付货款的义务。</w:t>
      </w:r>
    </w:p>
    <w:p>
      <w:pPr>
        <w:jc w:val="both"/>
      </w:pPr>
      <w:r>
        <w:rPr>
          <w:sz w:val="22"/>
        </w:rPr>
        <w:t>九、合同发生争议，由双方协商或调解解决，协商或调解不成时，向合同签订地人民法院起诉。</w:t>
      </w:r>
    </w:p>
    <w:p>
      <w:pPr>
        <w:jc w:val="both"/>
      </w:pPr>
      <w:r>
        <w:rPr>
          <w:sz w:val="22"/>
        </w:rPr>
        <w:t>十、本合同一式六份</w:t>
      </w:r>
      <w:r>
        <w:rPr>
          <w:sz w:val="22"/>
        </w:rPr>
        <w:t>(</w:t>
      </w:r>
      <w:r>
        <w:rPr>
          <w:sz w:val="22"/>
        </w:rPr>
        <w:t>甲方职能部门</w:t>
      </w:r>
      <w:r>
        <w:rPr>
          <w:sz w:val="22"/>
        </w:rPr>
        <w:t>2</w:t>
      </w:r>
      <w:r>
        <w:rPr>
          <w:sz w:val="22"/>
        </w:rPr>
        <w:t>份存档、用户执</w:t>
      </w:r>
      <w:r>
        <w:rPr>
          <w:sz w:val="22"/>
        </w:rPr>
        <w:t>1</w:t>
      </w:r>
      <w:r>
        <w:rPr>
          <w:sz w:val="22"/>
        </w:rPr>
        <w:t>份；乙方执</w:t>
      </w:r>
      <w:r>
        <w:rPr>
          <w:sz w:val="22"/>
        </w:rPr>
        <w:t>2</w:t>
      </w:r>
      <w:r>
        <w:rPr>
          <w:sz w:val="22"/>
        </w:rPr>
        <w:t>份</w:t>
      </w:r>
      <w:r>
        <w:rPr>
          <w:sz w:val="22"/>
        </w:rPr>
        <w:t>)</w:t>
      </w:r>
      <w:r>
        <w:rPr>
          <w:sz w:val="22"/>
        </w:rPr>
        <w:t>，均为正本，具有同等法律效力</w:t>
      </w:r>
      <w:r>
        <w:rPr>
          <w:sz w:val="22"/>
        </w:rPr>
        <w:t>,</w:t>
      </w:r>
      <w:r>
        <w:rPr>
          <w:sz w:val="22"/>
        </w:rPr>
        <w:t>未尽事宜，双方友好协商。</w:t>
      </w:r>
    </w:p>
    <w:p>
      <w:pPr>
        <w:jc w:val="both"/>
      </w:pPr>
      <w:r>
        <w:rPr>
          <w:sz w:val="22"/>
        </w:rPr>
        <w:t>十一、备注：</w:t>
      </w:r>
    </w:p>
    <w:p>
      <w:pPr>
        <w:numPr>
          <w:ilvl w:val="0"/>
          <w:numId w:val="1"/>
        </w:numPr>
        <w:jc w:val="both"/>
      </w:pPr>
      <w:r>
        <w:rPr>
          <w:sz w:val="22"/>
        </w:rPr>
        <w:t>合同签约地：广州市天河区金穗路</w:t>
      </w:r>
      <w:r>
        <w:rPr>
          <w:sz w:val="22"/>
        </w:rPr>
        <w:t>7</w:t>
      </w:r>
      <w:r>
        <w:rPr>
          <w:sz w:val="22"/>
        </w:rPr>
        <w:t>号。</w:t>
      </w:r>
    </w:p>
    <w:p>
      <w:pPr>
        <w:numPr>
          <w:ilvl w:val="0"/>
          <w:numId w:val="1"/>
        </w:numPr>
        <w:jc w:val="both"/>
      </w:pPr>
      <w:r>
        <w:rPr>
          <w:sz w:val="22"/>
        </w:rPr>
        <w:t>本合同以双方盖章后才生效。</w:t>
      </w:r>
    </w:p>
    <w:p>
      <w:pPr>
        <w:jc w:val="both"/>
      </w:pPr>
    </w:p>
    <w:p>
      <w:pPr>
        <w:jc w:val="both"/>
      </w:pPr>
      <w:r>
        <w:rPr>
          <w:sz w:val="22"/>
        </w:rPr>
        <w:t>甲方：中山大学中山眼科中心（合同章）</w:t>
      </w:r>
      <w:r>
        <w:rPr>
          <w:sz w:val="22"/>
        </w:rPr>
        <w:t xml:space="preserve">        </w:t>
      </w:r>
      <w:r>
        <w:rPr>
          <w:sz w:val="22"/>
        </w:rPr>
        <w:t>乙方</w:t>
      </w:r>
      <w:r>
        <w:rPr>
          <w:sz w:val="22"/>
        </w:rPr>
        <w:t xml:space="preserve">:          </w:t>
      </w:r>
      <w:r>
        <w:rPr>
          <w:sz w:val="22"/>
        </w:rPr>
        <w:t>（合同章）</w:t>
      </w:r>
    </w:p>
    <w:p>
      <w:pPr>
        <w:jc w:val="both"/>
      </w:pPr>
      <w:r>
        <w:rPr>
          <w:sz w:val="22"/>
        </w:rPr>
        <w:t>法定代表人（委托代理人）（签字）：</w:t>
      </w:r>
      <w:r>
        <w:rPr>
          <w:sz w:val="22"/>
        </w:rPr>
        <w:t xml:space="preserve">           </w:t>
      </w:r>
      <w:r>
        <w:rPr>
          <w:sz w:val="22"/>
        </w:rPr>
        <w:t>法定代表人（委托代理人）（签字）：</w:t>
      </w:r>
    </w:p>
    <w:p>
      <w:pPr>
        <w:jc w:val="both"/>
      </w:pPr>
      <w:r>
        <w:rPr>
          <w:sz w:val="22"/>
        </w:rPr>
        <w:t>用户单位负责人签字：</w:t>
      </w:r>
    </w:p>
    <w:p>
      <w:pPr>
        <w:jc w:val="both"/>
      </w:pPr>
      <w:r>
        <w:rPr>
          <w:sz w:val="22"/>
        </w:rPr>
        <w:t>签字日期：</w:t>
      </w:r>
      <w:r>
        <w:rPr>
          <w:sz w:val="22"/>
        </w:rPr>
        <w:t xml:space="preserve">                                  </w:t>
      </w:r>
      <w:r>
        <w:rPr>
          <w:sz w:val="22"/>
        </w:rPr>
        <w:t>签字日期：</w:t>
      </w:r>
      <w:r>
        <w:rPr>
          <w:sz w:val="22"/>
        </w:rPr>
        <w:t xml:space="preserve">     </w:t>
      </w:r>
    </w:p>
    <w:p>
      <w:pPr>
        <w:jc w:val="both"/>
      </w:pPr>
    </w:p>
    <w:p>
      <w:pPr>
        <w:jc w:val="both"/>
      </w:pPr>
      <w:r>
        <w:rPr>
          <w:sz w:val="22"/>
        </w:rPr>
        <w:t>附件一：配置清单</w:t>
      </w:r>
    </w:p>
    <w:p>
      <w:pPr>
        <w:jc w:val="both"/>
      </w:pPr>
      <w:r>
        <w:rPr>
          <w:sz w:val="21"/>
        </w:rPr>
        <w:t xml:space="preserve"> </w:t>
      </w:r>
    </w:p>
    <w:p>
      <w:pPr>
        <w:jc w:val="both"/>
      </w:pPr>
      <w:r>
        <w:rPr>
          <w:sz w:val="22"/>
        </w:rPr>
        <w:t>一、设备名称：</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34"/>
        <w:gridCol w:w="1057"/>
        <w:gridCol w:w="2114"/>
        <w:gridCol w:w="1223"/>
        <w:gridCol w:w="1012"/>
        <w:gridCol w:w="1133"/>
        <w:gridCol w:w="1133"/>
      </w:tblGrid>
      <w:tr>
        <w:tc>
          <w:tcPr>
            <w:tcW w:type="dxa" w:w="634"/>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1057"/>
            <w:tcBorders>
              <w:top w:val="single" w:color="000000" w:sz="4"/>
              <w:left w:val="none" w:color="000000" w:sz="4"/>
              <w:bottom w:val="single" w:color="000000" w:sz="4"/>
              <w:right w:val="single" w:color="000000" w:sz="4"/>
            </w:tcBorders>
            <w:vAlign w:val="top"/>
          </w:tcPr>
          <w:p>
            <w:pPr>
              <w:jc w:val="center"/>
            </w:pPr>
            <w:r>
              <w:rPr>
                <w:sz w:val="22"/>
              </w:rPr>
              <w:t>货号</w:t>
            </w:r>
          </w:p>
        </w:tc>
        <w:tc>
          <w:tcPr>
            <w:tcW w:type="dxa" w:w="2114"/>
            <w:tcBorders>
              <w:top w:val="single" w:color="000000" w:sz="4"/>
              <w:left w:val="none" w:color="000000" w:sz="4"/>
              <w:bottom w:val="single" w:color="000000" w:sz="4"/>
              <w:right w:val="single" w:color="000000" w:sz="4"/>
            </w:tcBorders>
            <w:vAlign w:val="top"/>
          </w:tcPr>
          <w:p>
            <w:pPr>
              <w:jc w:val="center"/>
            </w:pPr>
            <w:r>
              <w:rPr>
                <w:sz w:val="22"/>
              </w:rPr>
              <w:t>名称</w:t>
            </w:r>
          </w:p>
        </w:tc>
        <w:tc>
          <w:tcPr>
            <w:tcW w:type="dxa" w:w="1223"/>
            <w:tcBorders>
              <w:top w:val="single" w:color="000000" w:sz="4"/>
              <w:left w:val="none" w:color="000000" w:sz="4"/>
              <w:bottom w:val="single" w:color="000000" w:sz="4"/>
              <w:right w:val="single" w:color="000000" w:sz="4"/>
            </w:tcBorders>
            <w:vAlign w:val="top"/>
          </w:tcPr>
          <w:p>
            <w:pPr>
              <w:jc w:val="center"/>
            </w:pPr>
            <w:r>
              <w:rPr>
                <w:sz w:val="22"/>
              </w:rPr>
              <w:t>型号规格</w:t>
            </w:r>
          </w:p>
        </w:tc>
        <w:tc>
          <w:tcPr>
            <w:tcW w:type="dxa" w:w="1012"/>
            <w:tcBorders>
              <w:top w:val="single" w:color="000000" w:sz="4"/>
              <w:left w:val="none" w:color="000000" w:sz="4"/>
              <w:bottom w:val="single" w:color="000000" w:sz="4"/>
              <w:right w:val="single" w:color="000000" w:sz="4"/>
            </w:tcBorders>
            <w:vAlign w:val="top"/>
          </w:tcPr>
          <w:p>
            <w:pPr>
              <w:jc w:val="center"/>
            </w:pPr>
            <w:r>
              <w:rPr>
                <w:sz w:val="22"/>
              </w:rPr>
              <w:t>数量</w:t>
            </w:r>
          </w:p>
        </w:tc>
        <w:tc>
          <w:tcPr>
            <w:tcW w:type="dxa" w:w="1133"/>
            <w:tcBorders>
              <w:top w:val="single" w:color="000000" w:sz="4"/>
              <w:left w:val="none" w:color="000000" w:sz="4"/>
              <w:bottom w:val="single" w:color="000000" w:sz="4"/>
              <w:right w:val="single" w:color="000000" w:sz="4"/>
            </w:tcBorders>
            <w:vAlign w:val="top"/>
          </w:tcPr>
          <w:p>
            <w:pPr>
              <w:jc w:val="center"/>
            </w:pPr>
            <w:r>
              <w:rPr>
                <w:sz w:val="22"/>
              </w:rPr>
              <w:t>单位</w:t>
            </w:r>
          </w:p>
        </w:tc>
        <w:tc>
          <w:tcPr>
            <w:tcW w:type="dxa" w:w="1133"/>
            <w:tcBorders>
              <w:top w:val="single" w:color="000000" w:sz="4"/>
              <w:left w:val="none" w:color="000000" w:sz="4"/>
              <w:bottom w:val="single" w:color="000000" w:sz="4"/>
              <w:right w:val="single" w:color="000000" w:sz="4"/>
            </w:tcBorders>
            <w:vAlign w:val="top"/>
          </w:tcPr>
          <w:p>
            <w:pPr>
              <w:jc w:val="center"/>
            </w:pPr>
            <w:r>
              <w:rPr>
                <w:sz w:val="22"/>
              </w:rPr>
              <w:t>备注</w:t>
            </w:r>
          </w:p>
        </w:tc>
      </w:tr>
      <w:tr>
        <w:tc>
          <w:tcPr>
            <w:tcW w:type="dxa" w:w="634"/>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057"/>
            <w:tcBorders>
              <w:top w:val="none" w:color="000000" w:sz="4"/>
              <w:left w:val="none" w:color="000000" w:sz="4"/>
              <w:bottom w:val="single" w:color="000000" w:sz="4"/>
              <w:right w:val="single" w:color="000000" w:sz="4"/>
            </w:tcBorders>
            <w:vAlign w:val="top"/>
          </w:tcPr>
          <w:p>
            <w:pPr>
              <w:jc w:val="center"/>
            </w:pPr>
          </w:p>
        </w:tc>
        <w:tc>
          <w:tcPr>
            <w:tcW w:type="dxa" w:w="2114"/>
            <w:tcBorders>
              <w:top w:val="none" w:color="000000" w:sz="4"/>
              <w:left w:val="none" w:color="000000" w:sz="4"/>
              <w:bottom w:val="single" w:color="000000" w:sz="4"/>
              <w:right w:val="single" w:color="000000" w:sz="4"/>
            </w:tcBorders>
            <w:vAlign w:val="top"/>
          </w:tcPr>
          <w:p>
            <w:pPr>
              <w:jc w:val="both"/>
            </w:pPr>
          </w:p>
        </w:tc>
        <w:tc>
          <w:tcPr>
            <w:tcW w:type="dxa" w:w="1223"/>
            <w:tcBorders>
              <w:top w:val="none" w:color="000000" w:sz="4"/>
              <w:left w:val="none" w:color="000000" w:sz="4"/>
              <w:bottom w:val="single" w:color="000000" w:sz="4"/>
              <w:right w:val="single" w:color="000000" w:sz="4"/>
            </w:tcBorders>
            <w:vAlign w:val="top"/>
          </w:tcPr>
          <w:p>
            <w:pPr>
              <w:jc w:val="both"/>
            </w:pPr>
          </w:p>
        </w:tc>
        <w:tc>
          <w:tcPr>
            <w:tcW w:type="dxa" w:w="1012"/>
            <w:tcBorders>
              <w:top w:val="none" w:color="000000" w:sz="4"/>
              <w:left w:val="none" w:color="000000" w:sz="4"/>
              <w:bottom w:val="single" w:color="000000" w:sz="4"/>
              <w:right w:val="single" w:color="000000" w:sz="4"/>
            </w:tcBorders>
            <w:vAlign w:val="top"/>
          </w:tcPr>
          <w:p>
            <w:pPr>
              <w:jc w:val="both"/>
            </w:pPr>
          </w:p>
        </w:tc>
        <w:tc>
          <w:tcPr>
            <w:tcW w:type="dxa" w:w="1133"/>
            <w:tcBorders>
              <w:top w:val="none" w:color="000000" w:sz="4"/>
              <w:left w:val="none" w:color="000000" w:sz="4"/>
              <w:bottom w:val="single" w:color="000000" w:sz="4"/>
              <w:right w:val="single" w:color="000000" w:sz="4"/>
            </w:tcBorders>
            <w:vAlign w:val="top"/>
          </w:tcPr>
          <w:p>
            <w:pPr>
              <w:jc w:val="both"/>
            </w:pPr>
          </w:p>
        </w:tc>
        <w:tc>
          <w:tcPr>
            <w:tcW w:type="dxa" w:w="1133"/>
            <w:tcBorders>
              <w:top w:val="none" w:color="000000" w:sz="4"/>
              <w:left w:val="none" w:color="000000" w:sz="4"/>
              <w:bottom w:val="single" w:color="000000" w:sz="4"/>
              <w:right w:val="single" w:color="000000" w:sz="4"/>
            </w:tcBorders>
            <w:vAlign w:val="top"/>
          </w:tcPr>
          <w:p>
            <w:pPr>
              <w:jc w:val="both"/>
            </w:pPr>
            <w:r>
              <w:rPr>
                <w:sz w:val="21"/>
              </w:rPr>
              <w:t xml:space="preserve"> </w:t>
            </w:r>
          </w:p>
        </w:tc>
      </w:tr>
      <w:tr>
        <w:tc>
          <w:tcPr>
            <w:tcW w:type="dxa" w:w="634"/>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057"/>
            <w:tcBorders>
              <w:top w:val="none" w:color="000000" w:sz="4"/>
              <w:left w:val="none" w:color="000000" w:sz="4"/>
              <w:bottom w:val="single" w:color="000000" w:sz="4"/>
              <w:right w:val="single" w:color="000000" w:sz="4"/>
            </w:tcBorders>
            <w:vAlign w:val="top"/>
          </w:tcPr>
          <w:p>
            <w:pPr>
              <w:jc w:val="center"/>
            </w:pPr>
          </w:p>
        </w:tc>
        <w:tc>
          <w:tcPr>
            <w:tcW w:type="dxa" w:w="2114"/>
            <w:tcBorders>
              <w:top w:val="none" w:color="000000" w:sz="4"/>
              <w:left w:val="none" w:color="000000" w:sz="4"/>
              <w:bottom w:val="single" w:color="000000" w:sz="4"/>
              <w:right w:val="single" w:color="000000" w:sz="4"/>
            </w:tcBorders>
            <w:vAlign w:val="top"/>
          </w:tcPr>
          <w:p>
            <w:pPr>
              <w:jc w:val="both"/>
            </w:pPr>
          </w:p>
        </w:tc>
        <w:tc>
          <w:tcPr>
            <w:tcW w:type="dxa" w:w="1223"/>
            <w:tcBorders>
              <w:top w:val="none" w:color="000000" w:sz="4"/>
              <w:left w:val="none" w:color="000000" w:sz="4"/>
              <w:bottom w:val="single" w:color="000000" w:sz="4"/>
              <w:right w:val="single" w:color="000000" w:sz="4"/>
            </w:tcBorders>
            <w:vAlign w:val="top"/>
          </w:tcPr>
          <w:p>
            <w:pPr>
              <w:jc w:val="both"/>
            </w:pPr>
          </w:p>
        </w:tc>
        <w:tc>
          <w:tcPr>
            <w:tcW w:type="dxa" w:w="1012"/>
            <w:tcBorders>
              <w:top w:val="none" w:color="000000" w:sz="4"/>
              <w:left w:val="none" w:color="000000" w:sz="4"/>
              <w:bottom w:val="single" w:color="000000" w:sz="4"/>
              <w:right w:val="single" w:color="000000" w:sz="4"/>
            </w:tcBorders>
            <w:vAlign w:val="top"/>
          </w:tcPr>
          <w:p>
            <w:pPr>
              <w:jc w:val="both"/>
            </w:pPr>
          </w:p>
        </w:tc>
        <w:tc>
          <w:tcPr>
            <w:tcW w:type="dxa" w:w="1133"/>
            <w:tcBorders>
              <w:top w:val="none" w:color="000000" w:sz="4"/>
              <w:left w:val="none" w:color="000000" w:sz="4"/>
              <w:bottom w:val="single" w:color="000000" w:sz="4"/>
              <w:right w:val="single" w:color="000000" w:sz="4"/>
            </w:tcBorders>
            <w:vAlign w:val="top"/>
          </w:tcPr>
          <w:p>
            <w:pPr>
              <w:jc w:val="both"/>
            </w:pPr>
          </w:p>
        </w:tc>
        <w:tc>
          <w:tcPr>
            <w:tcW w:type="dxa" w:w="1133"/>
            <w:tcBorders>
              <w:top w:val="none" w:color="000000" w:sz="4"/>
              <w:left w:val="none" w:color="000000" w:sz="4"/>
              <w:bottom w:val="single" w:color="000000" w:sz="4"/>
              <w:right w:val="single" w:color="000000" w:sz="4"/>
            </w:tcBorders>
            <w:vAlign w:val="top"/>
          </w:tcPr>
          <w:p>
            <w:pPr>
              <w:jc w:val="both"/>
            </w:pPr>
            <w:r>
              <w:rPr>
                <w:sz w:val="21"/>
              </w:rPr>
              <w:t xml:space="preserve"> </w:t>
            </w:r>
          </w:p>
        </w:tc>
      </w:tr>
      <w:tr>
        <w:tc>
          <w:tcPr>
            <w:tcW w:type="dxa" w:w="634"/>
            <w:tcBorders>
              <w:top w:val="none" w:color="000000" w:sz="4"/>
              <w:left w:val="single" w:color="000000" w:sz="4"/>
              <w:bottom w:val="single" w:color="000000" w:sz="4"/>
              <w:right w:val="single" w:color="000000" w:sz="4"/>
            </w:tcBorders>
            <w:vAlign w:val="top"/>
          </w:tcPr>
          <w:p>
            <w:pPr>
              <w:jc w:val="center"/>
            </w:pPr>
            <w:r>
              <w:rPr>
                <w:sz w:val="22"/>
              </w:rPr>
              <w:t>。。。</w:t>
            </w:r>
          </w:p>
        </w:tc>
        <w:tc>
          <w:tcPr>
            <w:tcW w:type="dxa" w:w="1057"/>
            <w:tcBorders>
              <w:top w:val="none" w:color="000000" w:sz="4"/>
              <w:left w:val="none" w:color="000000" w:sz="4"/>
              <w:bottom w:val="single" w:color="000000" w:sz="4"/>
              <w:right w:val="single" w:color="000000" w:sz="4"/>
            </w:tcBorders>
            <w:vAlign w:val="top"/>
          </w:tcPr>
          <w:p>
            <w:pPr>
              <w:jc w:val="center"/>
            </w:pPr>
          </w:p>
        </w:tc>
        <w:tc>
          <w:tcPr>
            <w:tcW w:type="dxa" w:w="2114"/>
            <w:tcBorders>
              <w:top w:val="none" w:color="000000" w:sz="4"/>
              <w:left w:val="none" w:color="000000" w:sz="4"/>
              <w:bottom w:val="single" w:color="000000" w:sz="4"/>
              <w:right w:val="single" w:color="000000" w:sz="4"/>
            </w:tcBorders>
            <w:vAlign w:val="top"/>
          </w:tcPr>
          <w:p>
            <w:pPr>
              <w:jc w:val="both"/>
            </w:pPr>
          </w:p>
        </w:tc>
        <w:tc>
          <w:tcPr>
            <w:tcW w:type="dxa" w:w="1223"/>
            <w:tcBorders>
              <w:top w:val="none" w:color="000000" w:sz="4"/>
              <w:left w:val="none" w:color="000000" w:sz="4"/>
              <w:bottom w:val="single" w:color="000000" w:sz="4"/>
              <w:right w:val="single" w:color="000000" w:sz="4"/>
            </w:tcBorders>
            <w:vAlign w:val="top"/>
          </w:tcPr>
          <w:p>
            <w:pPr>
              <w:jc w:val="both"/>
            </w:pPr>
          </w:p>
        </w:tc>
        <w:tc>
          <w:tcPr>
            <w:tcW w:type="dxa" w:w="1012"/>
            <w:tcBorders>
              <w:top w:val="none" w:color="000000" w:sz="4"/>
              <w:left w:val="none" w:color="000000" w:sz="4"/>
              <w:bottom w:val="single" w:color="000000" w:sz="4"/>
              <w:right w:val="single" w:color="000000" w:sz="4"/>
            </w:tcBorders>
            <w:vAlign w:val="top"/>
          </w:tcPr>
          <w:p>
            <w:pPr>
              <w:jc w:val="both"/>
            </w:pPr>
          </w:p>
        </w:tc>
        <w:tc>
          <w:tcPr>
            <w:tcW w:type="dxa" w:w="1133"/>
            <w:tcBorders>
              <w:top w:val="none" w:color="000000" w:sz="4"/>
              <w:left w:val="none" w:color="000000" w:sz="4"/>
              <w:bottom w:val="single" w:color="000000" w:sz="4"/>
              <w:right w:val="single" w:color="000000" w:sz="4"/>
            </w:tcBorders>
            <w:vAlign w:val="top"/>
          </w:tcPr>
          <w:p>
            <w:pPr>
              <w:jc w:val="both"/>
            </w:pPr>
          </w:p>
        </w:tc>
        <w:tc>
          <w:tcPr>
            <w:tcW w:type="dxa" w:w="1133"/>
            <w:tcBorders>
              <w:top w:val="none" w:color="000000" w:sz="4"/>
              <w:left w:val="none" w:color="000000" w:sz="4"/>
              <w:bottom w:val="single" w:color="000000" w:sz="4"/>
              <w:right w:val="single" w:color="000000" w:sz="4"/>
            </w:tcBorders>
            <w:vAlign w:val="top"/>
          </w:tcPr>
          <w:p>
            <w:pPr>
              <w:jc w:val="both"/>
            </w:pPr>
            <w:r>
              <w:rPr>
                <w:sz w:val="21"/>
              </w:rPr>
              <w:t xml:space="preserve"> </w:t>
            </w:r>
          </w:p>
        </w:tc>
      </w:tr>
    </w:tbl>
    <w:p>
      <w:pPr>
        <w:jc w:val="both"/>
      </w:pPr>
    </w:p>
    <w:p>
      <w:pPr>
        <w:jc w:val="both"/>
      </w:pPr>
    </w:p>
    <w:p>
      <w:pPr>
        <w:jc w:val="both"/>
      </w:pPr>
      <w:r>
        <w:rPr>
          <w:sz w:val="22"/>
        </w:rPr>
        <w:t>二、设备名称：</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34"/>
        <w:gridCol w:w="1042"/>
        <w:gridCol w:w="2084"/>
        <w:gridCol w:w="1193"/>
        <w:gridCol w:w="997"/>
        <w:gridCol w:w="1118"/>
        <w:gridCol w:w="1238"/>
      </w:tblGrid>
      <w:tr>
        <w:tc>
          <w:tcPr>
            <w:tcW w:type="dxa" w:w="634"/>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1042"/>
            <w:tcBorders>
              <w:top w:val="single" w:color="000000" w:sz="4"/>
              <w:left w:val="none" w:color="000000" w:sz="4"/>
              <w:bottom w:val="single" w:color="000000" w:sz="4"/>
              <w:right w:val="single" w:color="000000" w:sz="4"/>
            </w:tcBorders>
            <w:vAlign w:val="top"/>
          </w:tcPr>
          <w:p>
            <w:pPr>
              <w:jc w:val="center"/>
            </w:pPr>
            <w:r>
              <w:rPr>
                <w:sz w:val="22"/>
              </w:rPr>
              <w:t>货号</w:t>
            </w:r>
          </w:p>
        </w:tc>
        <w:tc>
          <w:tcPr>
            <w:tcW w:type="dxa" w:w="2084"/>
            <w:tcBorders>
              <w:top w:val="single" w:color="000000" w:sz="4"/>
              <w:left w:val="none" w:color="000000" w:sz="4"/>
              <w:bottom w:val="single" w:color="000000" w:sz="4"/>
              <w:right w:val="single" w:color="000000" w:sz="4"/>
            </w:tcBorders>
            <w:vAlign w:val="top"/>
          </w:tcPr>
          <w:p>
            <w:pPr>
              <w:jc w:val="center"/>
            </w:pPr>
            <w:r>
              <w:rPr>
                <w:sz w:val="22"/>
              </w:rPr>
              <w:t>名称</w:t>
            </w:r>
          </w:p>
        </w:tc>
        <w:tc>
          <w:tcPr>
            <w:tcW w:type="dxa" w:w="1193"/>
            <w:tcBorders>
              <w:top w:val="single" w:color="000000" w:sz="4"/>
              <w:left w:val="none" w:color="000000" w:sz="4"/>
              <w:bottom w:val="single" w:color="000000" w:sz="4"/>
              <w:right w:val="single" w:color="000000" w:sz="4"/>
            </w:tcBorders>
            <w:vAlign w:val="top"/>
          </w:tcPr>
          <w:p>
            <w:pPr>
              <w:jc w:val="center"/>
            </w:pPr>
            <w:r>
              <w:rPr>
                <w:sz w:val="22"/>
              </w:rPr>
              <w:t>型号规格</w:t>
            </w:r>
          </w:p>
        </w:tc>
        <w:tc>
          <w:tcPr>
            <w:tcW w:type="dxa" w:w="997"/>
            <w:tcBorders>
              <w:top w:val="single" w:color="000000" w:sz="4"/>
              <w:left w:val="none" w:color="000000" w:sz="4"/>
              <w:bottom w:val="single" w:color="000000" w:sz="4"/>
              <w:right w:val="single" w:color="000000" w:sz="4"/>
            </w:tcBorders>
            <w:vAlign w:val="top"/>
          </w:tcPr>
          <w:p>
            <w:pPr>
              <w:jc w:val="center"/>
            </w:pPr>
            <w:r>
              <w:rPr>
                <w:sz w:val="22"/>
              </w:rPr>
              <w:t>数量</w:t>
            </w:r>
          </w:p>
        </w:tc>
        <w:tc>
          <w:tcPr>
            <w:tcW w:type="dxa" w:w="1118"/>
            <w:tcBorders>
              <w:top w:val="single" w:color="000000" w:sz="4"/>
              <w:left w:val="none" w:color="000000" w:sz="4"/>
              <w:bottom w:val="single" w:color="000000" w:sz="4"/>
              <w:right w:val="single" w:color="000000" w:sz="4"/>
            </w:tcBorders>
            <w:vAlign w:val="top"/>
          </w:tcPr>
          <w:p>
            <w:pPr>
              <w:jc w:val="center"/>
            </w:pPr>
            <w:r>
              <w:rPr>
                <w:sz w:val="22"/>
              </w:rPr>
              <w:t>单位</w:t>
            </w:r>
          </w:p>
        </w:tc>
        <w:tc>
          <w:tcPr>
            <w:tcW w:type="dxa" w:w="1238"/>
            <w:tcBorders>
              <w:top w:val="single" w:color="000000" w:sz="4"/>
              <w:left w:val="none" w:color="000000" w:sz="4"/>
              <w:bottom w:val="single" w:color="000000" w:sz="4"/>
              <w:right w:val="single" w:color="000000" w:sz="4"/>
            </w:tcBorders>
            <w:vAlign w:val="top"/>
          </w:tcPr>
          <w:p>
            <w:pPr>
              <w:jc w:val="center"/>
            </w:pPr>
            <w:r>
              <w:rPr>
                <w:sz w:val="22"/>
              </w:rPr>
              <w:t>备注</w:t>
            </w:r>
          </w:p>
        </w:tc>
      </w:tr>
      <w:tr>
        <w:tc>
          <w:tcPr>
            <w:tcW w:type="dxa" w:w="634"/>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042"/>
            <w:tcBorders>
              <w:top w:val="none" w:color="000000" w:sz="4"/>
              <w:left w:val="none" w:color="000000" w:sz="4"/>
              <w:bottom w:val="single" w:color="000000" w:sz="4"/>
              <w:right w:val="single" w:color="000000" w:sz="4"/>
            </w:tcBorders>
            <w:vAlign w:val="top"/>
          </w:tcPr>
          <w:p>
            <w:pPr>
              <w:jc w:val="center"/>
            </w:pPr>
          </w:p>
        </w:tc>
        <w:tc>
          <w:tcPr>
            <w:tcW w:type="dxa" w:w="2084"/>
            <w:tcBorders>
              <w:top w:val="none" w:color="000000" w:sz="4"/>
              <w:left w:val="none" w:color="000000" w:sz="4"/>
              <w:bottom w:val="single" w:color="000000" w:sz="4"/>
              <w:right w:val="single" w:color="000000" w:sz="4"/>
            </w:tcBorders>
            <w:vAlign w:val="top"/>
          </w:tcPr>
          <w:p>
            <w:pPr>
              <w:jc w:val="both"/>
            </w:pPr>
          </w:p>
        </w:tc>
        <w:tc>
          <w:tcPr>
            <w:tcW w:type="dxa" w:w="1193"/>
            <w:tcBorders>
              <w:top w:val="none" w:color="000000" w:sz="4"/>
              <w:left w:val="none" w:color="000000" w:sz="4"/>
              <w:bottom w:val="single" w:color="000000" w:sz="4"/>
              <w:right w:val="single" w:color="000000" w:sz="4"/>
            </w:tcBorders>
            <w:vAlign w:val="top"/>
          </w:tcPr>
          <w:p>
            <w:pPr>
              <w:jc w:val="both"/>
            </w:pPr>
          </w:p>
        </w:tc>
        <w:tc>
          <w:tcPr>
            <w:tcW w:type="dxa" w:w="997"/>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238"/>
            <w:tcBorders>
              <w:top w:val="none" w:color="000000" w:sz="4"/>
              <w:left w:val="none" w:color="000000" w:sz="4"/>
              <w:bottom w:val="single" w:color="000000" w:sz="4"/>
              <w:right w:val="single" w:color="000000" w:sz="4"/>
            </w:tcBorders>
            <w:vAlign w:val="top"/>
          </w:tcPr>
          <w:p>
            <w:pPr>
              <w:jc w:val="both"/>
            </w:pPr>
            <w:r>
              <w:rPr>
                <w:sz w:val="21"/>
              </w:rPr>
              <w:t xml:space="preserve"> </w:t>
            </w:r>
          </w:p>
        </w:tc>
      </w:tr>
      <w:tr>
        <w:tc>
          <w:tcPr>
            <w:tcW w:type="dxa" w:w="634"/>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042"/>
            <w:tcBorders>
              <w:top w:val="none" w:color="000000" w:sz="4"/>
              <w:left w:val="none" w:color="000000" w:sz="4"/>
              <w:bottom w:val="single" w:color="000000" w:sz="4"/>
              <w:right w:val="single" w:color="000000" w:sz="4"/>
            </w:tcBorders>
            <w:vAlign w:val="top"/>
          </w:tcPr>
          <w:p>
            <w:pPr>
              <w:jc w:val="center"/>
            </w:pPr>
          </w:p>
        </w:tc>
        <w:tc>
          <w:tcPr>
            <w:tcW w:type="dxa" w:w="2084"/>
            <w:tcBorders>
              <w:top w:val="none" w:color="000000" w:sz="4"/>
              <w:left w:val="none" w:color="000000" w:sz="4"/>
              <w:bottom w:val="single" w:color="000000" w:sz="4"/>
              <w:right w:val="single" w:color="000000" w:sz="4"/>
            </w:tcBorders>
            <w:vAlign w:val="top"/>
          </w:tcPr>
          <w:p>
            <w:pPr>
              <w:jc w:val="both"/>
            </w:pPr>
          </w:p>
        </w:tc>
        <w:tc>
          <w:tcPr>
            <w:tcW w:type="dxa" w:w="1193"/>
            <w:tcBorders>
              <w:top w:val="none" w:color="000000" w:sz="4"/>
              <w:left w:val="none" w:color="000000" w:sz="4"/>
              <w:bottom w:val="single" w:color="000000" w:sz="4"/>
              <w:right w:val="single" w:color="000000" w:sz="4"/>
            </w:tcBorders>
            <w:vAlign w:val="top"/>
          </w:tcPr>
          <w:p>
            <w:pPr>
              <w:jc w:val="both"/>
            </w:pPr>
          </w:p>
        </w:tc>
        <w:tc>
          <w:tcPr>
            <w:tcW w:type="dxa" w:w="997"/>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238"/>
            <w:tcBorders>
              <w:top w:val="none" w:color="000000" w:sz="4"/>
              <w:left w:val="none" w:color="000000" w:sz="4"/>
              <w:bottom w:val="single" w:color="000000" w:sz="4"/>
              <w:right w:val="single" w:color="000000" w:sz="4"/>
            </w:tcBorders>
            <w:vAlign w:val="top"/>
          </w:tcPr>
          <w:p>
            <w:pPr>
              <w:jc w:val="both"/>
            </w:pPr>
            <w:r>
              <w:rPr>
                <w:sz w:val="21"/>
              </w:rPr>
              <w:t xml:space="preserve"> </w:t>
            </w:r>
          </w:p>
        </w:tc>
      </w:tr>
      <w:tr>
        <w:tc>
          <w:tcPr>
            <w:tcW w:type="dxa" w:w="634"/>
            <w:tcBorders>
              <w:top w:val="none" w:color="000000" w:sz="4"/>
              <w:left w:val="single" w:color="000000" w:sz="4"/>
              <w:bottom w:val="single" w:color="000000" w:sz="4"/>
              <w:right w:val="single" w:color="000000" w:sz="4"/>
            </w:tcBorders>
            <w:vAlign w:val="top"/>
          </w:tcPr>
          <w:p>
            <w:pPr>
              <w:jc w:val="center"/>
            </w:pPr>
            <w:r>
              <w:rPr>
                <w:sz w:val="22"/>
              </w:rPr>
              <w:t>。。。</w:t>
            </w:r>
          </w:p>
        </w:tc>
        <w:tc>
          <w:tcPr>
            <w:tcW w:type="dxa" w:w="1042"/>
            <w:tcBorders>
              <w:top w:val="none" w:color="000000" w:sz="4"/>
              <w:left w:val="none" w:color="000000" w:sz="4"/>
              <w:bottom w:val="single" w:color="000000" w:sz="4"/>
              <w:right w:val="single" w:color="000000" w:sz="4"/>
            </w:tcBorders>
            <w:vAlign w:val="top"/>
          </w:tcPr>
          <w:p>
            <w:pPr>
              <w:jc w:val="center"/>
            </w:pPr>
          </w:p>
        </w:tc>
        <w:tc>
          <w:tcPr>
            <w:tcW w:type="dxa" w:w="2084"/>
            <w:tcBorders>
              <w:top w:val="none" w:color="000000" w:sz="4"/>
              <w:left w:val="none" w:color="000000" w:sz="4"/>
              <w:bottom w:val="single" w:color="000000" w:sz="4"/>
              <w:right w:val="single" w:color="000000" w:sz="4"/>
            </w:tcBorders>
            <w:vAlign w:val="top"/>
          </w:tcPr>
          <w:p>
            <w:pPr>
              <w:jc w:val="both"/>
            </w:pPr>
          </w:p>
        </w:tc>
        <w:tc>
          <w:tcPr>
            <w:tcW w:type="dxa" w:w="1193"/>
            <w:tcBorders>
              <w:top w:val="none" w:color="000000" w:sz="4"/>
              <w:left w:val="none" w:color="000000" w:sz="4"/>
              <w:bottom w:val="single" w:color="000000" w:sz="4"/>
              <w:right w:val="single" w:color="000000" w:sz="4"/>
            </w:tcBorders>
            <w:vAlign w:val="top"/>
          </w:tcPr>
          <w:p>
            <w:pPr>
              <w:jc w:val="both"/>
            </w:pPr>
          </w:p>
        </w:tc>
        <w:tc>
          <w:tcPr>
            <w:tcW w:type="dxa" w:w="997"/>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238"/>
            <w:tcBorders>
              <w:top w:val="none" w:color="000000" w:sz="4"/>
              <w:left w:val="none" w:color="000000" w:sz="4"/>
              <w:bottom w:val="single" w:color="000000" w:sz="4"/>
              <w:right w:val="single" w:color="000000" w:sz="4"/>
            </w:tcBorders>
            <w:vAlign w:val="top"/>
          </w:tcPr>
          <w:p>
            <w:pPr>
              <w:jc w:val="both"/>
            </w:pPr>
            <w:r>
              <w:rPr>
                <w:sz w:val="21"/>
              </w:rPr>
              <w:t xml:space="preserve"> </w:t>
            </w:r>
          </w:p>
        </w:tc>
      </w:tr>
    </w:tbl>
    <w:p>
      <w:pPr>
        <w:jc w:val="both"/>
      </w:pPr>
    </w:p>
    <w:p>
      <w:pPr>
        <w:jc w:val="both"/>
      </w:pPr>
    </w:p>
    <w:p>
      <w:pPr>
        <w:jc w:val="both"/>
      </w:pPr>
      <w:r>
        <w:rPr>
          <w:sz w:val="22"/>
        </w:rPr>
        <w:t>......</w:t>
      </w:r>
    </w:p>
    <w:p>
      <w:pPr>
        <w:jc w:val="both"/>
      </w:pPr>
    </w:p>
    <w:p>
      <w:pPr>
        <w:jc w:val="both"/>
      </w:pPr>
      <w:r>
        <w:rPr>
          <w:sz w:val="22"/>
        </w:rPr>
        <w:t>甲方确认清单代表签名</w:t>
      </w:r>
      <w:r>
        <w:rPr>
          <w:sz w:val="22"/>
        </w:rPr>
        <w:t xml:space="preserve">:                    </w:t>
      </w:r>
      <w:r>
        <w:rPr>
          <w:sz w:val="22"/>
        </w:rPr>
        <w:t>乙方确认清单代表签名</w:t>
      </w:r>
      <w:r>
        <w:rPr>
          <w:sz w:val="22"/>
        </w:rPr>
        <w:t>:</w:t>
      </w:r>
    </w:p>
    <w:p>
      <w:pPr>
        <w:jc w:val="both"/>
      </w:pPr>
    </w:p>
    <w:p>
      <w:pPr>
        <w:jc w:val="both"/>
      </w:pPr>
    </w:p>
    <w:p>
      <w:pPr>
        <w:jc w:val="both"/>
      </w:pPr>
    </w:p>
    <w:p>
      <w:pPr>
        <w:jc w:val="both"/>
      </w:pPr>
    </w:p>
    <w:p>
      <w:pPr>
        <w:jc w:val="both"/>
      </w:pPr>
      <w:r>
        <w:rPr>
          <w:sz w:val="22"/>
        </w:rPr>
        <w:t>附件二：投标人廉洁合作承诺函</w:t>
      </w:r>
    </w:p>
    <w:p>
      <w:pPr>
        <w:jc w:val="both"/>
      </w:pPr>
      <w:r>
        <w:rPr>
          <w:sz w:val="21"/>
        </w:rPr>
        <w:t xml:space="preserve"> </w:t>
      </w:r>
    </w:p>
    <w:p>
      <w:pPr>
        <w:jc w:val="both"/>
      </w:pPr>
    </w:p>
    <w:p>
      <w:pPr>
        <w:jc w:val="center"/>
      </w:pPr>
      <w:r>
        <w:rPr>
          <w:b/>
          <w:sz w:val="32"/>
        </w:rPr>
        <w:t>投标人廉洁合作承诺函</w:t>
      </w:r>
    </w:p>
    <w:p>
      <w:pPr>
        <w:ind w:firstLine="550"/>
        <w:jc w:val="both"/>
      </w:pPr>
    </w:p>
    <w:p>
      <w:pPr>
        <w:ind w:firstLine="440"/>
        <w:jc w:val="both"/>
      </w:pPr>
      <w:r>
        <w:rPr>
          <w:sz w:val="22"/>
        </w:rPr>
        <w:t>为了反对不正当竞争，维护和净化采购项目服务环境，本单位对在</w:t>
      </w:r>
      <w:r>
        <w:rPr>
          <w:b/>
          <w:sz w:val="22"/>
        </w:rPr>
        <w:t>中山大学中山眼科中心</w:t>
      </w:r>
      <w:r>
        <w:rPr>
          <w:sz w:val="22"/>
        </w:rPr>
        <w:t>的投标项目中，做出如下承诺：</w:t>
      </w:r>
    </w:p>
    <w:p>
      <w:pPr>
        <w:ind w:firstLine="444"/>
        <w:jc w:val="both"/>
      </w:pPr>
      <w:r>
        <w:rPr>
          <w:sz w:val="22"/>
        </w:rPr>
        <w:t>1</w:t>
      </w:r>
      <w:r>
        <w:rPr>
          <w:sz w:val="22"/>
        </w:rPr>
        <w:t>、如发现贵中心人员有索贿现象，及时向贵中心纪检监察部门进行举报和投诉</w:t>
      </w:r>
      <w:r>
        <w:rPr>
          <w:sz w:val="22"/>
        </w:rPr>
        <w:t>;</w:t>
      </w:r>
    </w:p>
    <w:p>
      <w:pPr>
        <w:ind w:firstLine="444"/>
        <w:jc w:val="both"/>
      </w:pPr>
      <w:r>
        <w:rPr>
          <w:sz w:val="22"/>
        </w:rPr>
        <w:t>2</w:t>
      </w:r>
      <w:r>
        <w:rPr>
          <w:sz w:val="22"/>
        </w:rPr>
        <w:t>、不向贵中心任何人员送礼、请客或提供其他有个人收益的服务</w:t>
      </w:r>
      <w:r>
        <w:rPr>
          <w:sz w:val="22"/>
        </w:rPr>
        <w:t>;</w:t>
      </w:r>
    </w:p>
    <w:p>
      <w:pPr>
        <w:ind w:firstLine="444"/>
        <w:jc w:val="both"/>
      </w:pPr>
      <w:r>
        <w:rPr>
          <w:sz w:val="22"/>
        </w:rPr>
        <w:t>3</w:t>
      </w:r>
      <w:r>
        <w:rPr>
          <w:sz w:val="22"/>
        </w:rPr>
        <w:t>、不向贵中心任何人员行贿，或以其他方式提供金钱利益</w:t>
      </w:r>
      <w:r>
        <w:rPr>
          <w:sz w:val="22"/>
        </w:rPr>
        <w:t>;</w:t>
      </w:r>
    </w:p>
    <w:p>
      <w:pPr>
        <w:ind w:firstLine="444"/>
        <w:jc w:val="both"/>
      </w:pPr>
      <w:r>
        <w:rPr>
          <w:sz w:val="22"/>
        </w:rPr>
        <w:t>4</w:t>
      </w:r>
      <w:r>
        <w:rPr>
          <w:sz w:val="22"/>
        </w:rPr>
        <w:t>、保证本单位人员不接受任何与该项目有利害关系的人或单位的请客、送礼、行贿或索贿</w:t>
      </w:r>
      <w:r>
        <w:rPr>
          <w:sz w:val="22"/>
        </w:rPr>
        <w:t>;</w:t>
      </w:r>
    </w:p>
    <w:p>
      <w:pPr>
        <w:ind w:firstLine="444"/>
        <w:jc w:val="both"/>
      </w:pPr>
      <w:r>
        <w:rPr>
          <w:sz w:val="22"/>
        </w:rPr>
        <w:t>5</w:t>
      </w:r>
      <w:r>
        <w:rPr>
          <w:sz w:val="22"/>
        </w:rPr>
        <w:t>、如本单位违反以上承诺，造成贵中心经济上、声誉上的损失，除自愿承担经济上的损失补偿外，自愿承担相应的法律责任，同时立即放弃投标和中标项目的权利以及产品和服务提供的权利。</w:t>
      </w:r>
    </w:p>
    <w:p>
      <w:pPr>
        <w:ind w:firstLine="440"/>
        <w:jc w:val="both"/>
      </w:pPr>
      <w:r>
        <w:rPr>
          <w:sz w:val="22"/>
        </w:rPr>
        <w:t>特此承诺！</w:t>
      </w:r>
    </w:p>
    <w:p>
      <w:pPr>
        <w:ind w:firstLine="550"/>
        <w:jc w:val="both"/>
      </w:pPr>
    </w:p>
    <w:p>
      <w:pPr>
        <w:ind w:firstLine="550"/>
        <w:jc w:val="both"/>
      </w:pPr>
    </w:p>
    <w:p>
      <w:pPr>
        <w:ind w:firstLine="550"/>
        <w:jc w:val="both"/>
      </w:pPr>
      <w:r>
        <w:rPr>
          <w:sz w:val="22"/>
        </w:rPr>
        <w:t xml:space="preserve">                                         </w:t>
      </w:r>
      <w:r>
        <w:rPr>
          <w:sz w:val="22"/>
        </w:rPr>
        <w:t>承诺单位：（盖章）</w:t>
      </w:r>
    </w:p>
    <w:p>
      <w:pPr>
        <w:ind w:firstLine="3960"/>
        <w:jc w:val="both"/>
      </w:pPr>
      <w:r>
        <w:rPr>
          <w:sz w:val="22"/>
        </w:rPr>
        <w:t>法人代表或授权委托人</w:t>
      </w:r>
      <w:r>
        <w:rPr>
          <w:sz w:val="22"/>
        </w:rPr>
        <w:t>(</w:t>
      </w:r>
      <w:r>
        <w:rPr>
          <w:sz w:val="22"/>
        </w:rPr>
        <w:t>签字</w:t>
      </w:r>
      <w:r>
        <w:rPr>
          <w:sz w:val="22"/>
        </w:rPr>
        <w:t>)</w:t>
      </w:r>
      <w:r>
        <w:rPr>
          <w:sz w:val="22"/>
        </w:rPr>
        <w:t>：</w:t>
      </w:r>
    </w:p>
    <w:p>
      <w:pPr>
        <w:ind w:firstLine="550"/>
        <w:jc w:val="both"/>
      </w:pPr>
      <w:r>
        <w:rPr>
          <w:sz w:val="21"/>
        </w:rPr>
        <w:t xml:space="preserve">                                        </w:t>
      </w:r>
    </w:p>
    <w:p>
      <w:pPr>
        <w:jc w:val="both"/>
      </w:pPr>
      <w:r>
        <w:rPr>
          <w:sz w:val="22"/>
        </w:rPr>
        <w:t xml:space="preserve">                                                               2022</w:t>
      </w:r>
      <w:r>
        <w:rPr>
          <w:sz w:val="22"/>
        </w:rPr>
        <w:t>年    月    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440001-2022-31440</w:t>
      </w:r>
    </w:p>
    <w:p>
      <w:pPr>
        <w:jc w:val="center"/>
      </w:pPr>
      <w:r>
        <w:rPr>
          <w:b/>
          <w:sz w:val="24"/>
        </w:rPr>
        <w:t>采购项目编号：</w:t>
      </w:r>
      <w:r>
        <w:rPr>
          <w:b/>
          <w:sz w:val="24"/>
        </w:rPr>
        <w:t>C001011--20220041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中山大学中山眼科中心中央财政医疗服务与保障能力提升设备采购</w:t>
      </w:r>
      <w:r>
        <w:rPr/>
        <w:t>项目的招标[采购项目编号为：</w:t>
      </w:r>
      <w:r>
        <w:rPr>
          <w:u w:val="single"/>
        </w:rPr>
        <w:t>C001011--20220041</w:t>
      </w:r>
      <w:r>
        <w:rPr/>
        <w:t>]，我方愿参与投标。</w:t>
      </w:r>
    </w:p>
    <w:p>
      <w:pPr>
        <w:ind w:firstLine="480"/>
      </w:pPr>
      <w:r>
        <w:rPr/>
        <w:t>我方确认收到贵方提供的</w:t>
      </w:r>
      <w:r>
        <w:rPr>
          <w:u w:val="single"/>
        </w:rPr>
        <w:t>中山大学中山眼科中心中央财政医疗服务与保障能力提升设备采购</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中山大学中山眼科中心中央财政医疗服务与保障能力提升设备采购</w:t>
      </w:r>
      <w:r>
        <w:rPr/>
        <w:t>项目采购[采购项目编号为</w:t>
      </w:r>
      <w:r>
        <w:rPr/>
        <w:t>C001011--20220041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中山大学中山眼科中心中央财政医疗服务与保障能力提升设备采购</w:t>
      </w:r>
      <w:r>
        <w:rPr/>
        <w:t>招标中获中标（采购项目编号：</w:t>
      </w:r>
      <w:r>
        <w:rPr/>
        <w:t>C001011--20220041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广东国利招标有限公司</w:t>
      </w:r>
    </w:p>
    <w:p>
      <w:pPr>
        <w:ind w:firstLine="480"/>
      </w:pPr>
      <w:r>
        <w:rPr/>
        <w:t>我单位已登记并准备参与</w:t>
      </w:r>
      <w:r>
        <w:rPr/>
        <w:t>中山大学中山眼科中心中央财政医疗服务与保障能力提升设备采购</w:t>
      </w:r>
      <w:r>
        <w:rPr/>
        <w:t>项目（采购项目编号：</w:t>
      </w:r>
      <w:r>
        <w:rPr/>
        <w:t>C001011--20220041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