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440115-2022-03724</w:t>
      </w:r>
    </w:p>
    <w:p>
      <w:pPr>
        <w:jc w:val="center"/>
      </w:pPr>
      <w:r>
        <w:rPr>
          <w:b/>
          <w:sz w:val="24"/>
        </w:rPr>
        <w:t>采购项目编号：</w:t>
      </w:r>
      <w:r>
        <w:rPr>
          <w:b/>
          <w:sz w:val="24"/>
        </w:rPr>
        <w:t>C001011-20220055</w:t>
      </w:r>
    </w:p>
    <w:p>
      <w:pPr>
        <w:jc w:val="center"/>
      </w:pPr>
      <w:r>
        <w:rPr>
          <w:b/>
          <w:sz w:val="24"/>
        </w:rPr>
        <w:t>项目名称：</w:t>
      </w:r>
      <w:r>
        <w:rPr>
          <w:b/>
          <w:sz w:val="24"/>
        </w:rPr>
        <w:t>明珠湾起步区智慧城市数据治理服务项目</w:t>
      </w:r>
    </w:p>
    <w:p>
      <w:pPr>
        <w:jc w:val="center"/>
      </w:pPr>
      <w:r>
        <w:rPr>
          <w:b/>
          <w:sz w:val="24"/>
        </w:rPr>
        <w:t>采购人：</w:t>
      </w:r>
      <w:r>
        <w:rPr>
          <w:b/>
          <w:sz w:val="24"/>
        </w:rPr>
        <w:t>广州市南沙新区明珠湾开发建设管理局</w:t>
      </w:r>
    </w:p>
    <w:p>
      <w:pPr>
        <w:jc w:val="center"/>
      </w:pPr>
      <w:r>
        <w:rPr>
          <w:b/>
          <w:sz w:val="24"/>
        </w:rPr>
        <w:t>采购代理机构：</w:t>
      </w:r>
      <w:r>
        <w:rPr>
          <w:b/>
          <w:sz w:val="24"/>
        </w:rPr>
        <w:t>广东国利招标有限公司</w:t>
      </w:r>
    </w:p>
    <w:p>
      <w:pPr>
        <w:ind w:firstLine="480"/>
      </w:pPr>
    </w:p>
    <w:p>
      <w:r>
        <w:rPr/>
        <w:t xml:space="preserve"> </w:t>
      </w:r>
    </w:p>
    <w:p/>
    <w:p>
      <w:pPr>
        <w:jc w:val="center"/>
      </w:pPr>
      <w:r>
        <w:rPr>
          <w:b/>
          <w:sz w:val="36"/>
        </w:rPr>
        <w:t>第一章投标邀请</w:t>
      </w:r>
    </w:p>
    <w:p>
      <w:pPr>
        <w:ind w:firstLine="480"/>
      </w:pPr>
      <w:r>
        <w:rPr/>
        <w:t>广东国利招标有限公司</w:t>
      </w:r>
      <w:r>
        <w:rPr/>
        <w:t>受</w:t>
      </w:r>
      <w:r>
        <w:rPr/>
        <w:t>广州市南沙新区明珠湾开发建设管理局</w:t>
      </w:r>
      <w:r>
        <w:rPr/>
        <w:t>的委托，采用</w:t>
      </w:r>
      <w:r>
        <w:rPr/>
        <w:t>公开招标</w:t>
      </w:r>
      <w:r>
        <w:rPr/>
        <w:t>方式组织采购</w:t>
      </w:r>
      <w:r>
        <w:rPr/>
        <w:t>明珠湾起步区智慧城市数据治理服务项目</w:t>
      </w:r>
      <w:r>
        <w:rPr/>
        <w:t>。欢迎符合资格条件的国内供应商参加投标。</w:t>
      </w:r>
    </w:p>
    <w:p>
      <w:r>
        <w:rPr>
          <w:b/>
          <w:sz w:val="28"/>
        </w:rPr>
        <w:t>一.项目概述</w:t>
      </w:r>
    </w:p>
    <w:p>
      <w:r>
        <w:rPr>
          <w:b/>
          <w:sz w:val="24"/>
        </w:rPr>
        <w:t>1.名称与编号</w:t>
      </w:r>
    </w:p>
    <w:p>
      <w:pPr>
        <w:ind w:firstLine="480"/>
      </w:pPr>
      <w:r>
        <w:rPr/>
        <w:t>项目名称：</w:t>
      </w:r>
      <w:r>
        <w:rPr/>
        <w:t>明珠湾起步区智慧城市数据治理服务项目</w:t>
      </w:r>
    </w:p>
    <w:p>
      <w:pPr>
        <w:ind w:firstLine="480"/>
      </w:pPr>
      <w:r>
        <w:rPr/>
        <w:t>采购计划编号：</w:t>
      </w:r>
      <w:r>
        <w:rPr/>
        <w:t>440115-2022-03724</w:t>
      </w:r>
    </w:p>
    <w:p>
      <w:pPr>
        <w:ind w:firstLine="480"/>
      </w:pPr>
      <w:r>
        <w:rPr/>
        <w:t>采购项目编号：</w:t>
      </w:r>
      <w:r>
        <w:rPr/>
        <w:t>C001011-20220055</w:t>
      </w:r>
    </w:p>
    <w:p>
      <w:pPr>
        <w:ind w:firstLine="480"/>
      </w:pPr>
      <w:r>
        <w:rPr/>
        <w:t>采购方式：</w:t>
      </w:r>
      <w:r>
        <w:rPr/>
        <w:t>公开招标</w:t>
      </w:r>
    </w:p>
    <w:p>
      <w:pPr>
        <w:ind w:firstLine="480"/>
      </w:pPr>
      <w:r>
        <w:rPr/>
        <w:t>预算金额：</w:t>
      </w:r>
      <w:r>
        <w:rPr/>
        <w:t>2,123,500.00</w:t>
      </w:r>
      <w:r>
        <w:rPr/>
        <w:t>元</w:t>
      </w:r>
    </w:p>
    <w:p>
      <w:r>
        <w:rPr>
          <w:b/>
          <w:sz w:val="24"/>
        </w:rPr>
        <w:t>2.项目内容及需求情况（采购项目技术规格、参数及要求）</w:t>
      </w:r>
    </w:p>
    <w:p>
      <w:pPr>
        <w:ind w:firstLine="480"/>
      </w:pPr>
    </w:p>
    <w:p/>
    <w:p>
      <w:r>
        <w:rPr/>
        <w:t>采购包1(明珠湾起步区智慧城市数据治理服务项目):</w:t>
      </w:r>
    </w:p>
    <w:p>
      <w:r>
        <w:rPr/>
        <w:t>采购包预算金额：2,123,500.00元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明珠湾起步区智慧城市数据治理服务项目</w:t>
            </w:r>
          </w:p>
        </w:tc>
        <w:tc>
          <w:tcPr>
            <w:tcW w:type="dxa" w:w="977"/>
          </w:tcPr>
          <w:p>
            <w:r>
              <w:rPr/>
              <w:t>1.00(项)</w:t>
            </w:r>
          </w:p>
        </w:tc>
        <w:tc>
          <w:tcPr>
            <w:tcW w:type="dxa" w:w="977"/>
          </w:tcPr>
          <w:p>
            <w:r>
              <w:rPr/>
              <w:t>详见第二章</w:t>
            </w:r>
          </w:p>
        </w:tc>
        <w:tc>
          <w:tcPr>
            <w:tcW w:type="dxa" w:w="977"/>
          </w:tcPr>
          <w:p>
            <w:r>
              <w:rPr/>
              <w:t>2,123,500.00</w:t>
            </w:r>
          </w:p>
        </w:tc>
        <w:tc>
          <w:tcPr>
            <w:tcW w:type="dxa" w:w="977"/>
          </w:tcPr>
          <w:p>
            <w:r>
              <w:rPr/>
              <w:t>否</w:t>
            </w:r>
          </w:p>
        </w:tc>
      </w:tr>
    </w:tbl>
    <w:p/>
    <w:p>
      <w:r>
        <w:rPr/>
        <w:t>本采购包不接受联合体投标</w:t>
      </w:r>
    </w:p>
    <w:p/>
    <w:p>
      <w:r>
        <w:rPr/>
        <w:t>合同履行期限：自合同签订之日起18个月</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1）具有独立承担民事责任的能力：依据《投标函》及其附件，分支机构投标的，还须提供分支机构的营业执照（执业许可证）扫描件及总公司（总所）出具给分支机构的授权书。</w:t>
      </w:r>
    </w:p>
    <w:p/>
    <w:p>
      <w:r>
        <w:rPr/>
        <w:t>2）有依法缴纳税收和社会保障资金的良好记录：依据《投标函》；</w:t>
      </w:r>
    </w:p>
    <w:p/>
    <w:p>
      <w:r>
        <w:rPr/>
        <w:t>3）具有良好的商业信誉和健全的财务会计制度：依据《投标函》；</w:t>
      </w:r>
    </w:p>
    <w:p/>
    <w:p>
      <w:r>
        <w:rPr/>
        <w:t>4）履行合同所必需的设备和专业技术能力：依据《投标函》；</w:t>
      </w:r>
    </w:p>
    <w:p/>
    <w:p>
      <w:r>
        <w:rPr/>
        <w:t>5）参加采购活动前3年内，在经营活动中没有重大违法记录：依据《投标函》；</w:t>
      </w:r>
    </w:p>
    <w:p/>
    <w:p>
      <w:r>
        <w:rPr>
          <w:b/>
          <w:sz w:val="24"/>
        </w:rPr>
        <w:t>2.落实政府采购政策需满足的资格要求：</w:t>
      </w:r>
    </w:p>
    <w:p>
      <w:pPr>
        <w:ind w:firstLine="480"/>
      </w:pPr>
    </w:p>
    <w:p>
      <w:pPr>
        <w:jc w:val="left"/>
      </w:pPr>
    </w:p>
    <w:p>
      <w:r>
        <w:rPr/>
        <w:t>采购包1（明珠湾起步区智慧城市数据治理服务项目）：</w:t>
      </w:r>
      <w:r>
        <w:rPr/>
        <w:t>本项目不属于专门面向中小微企业采购的项目，原因和情形为：按照《政府采购促进中小企业发展管理办法》规定，预留采购份额无法确保充分供应、充分竞争，或者存在可能影响政府采购目标实现的情形。本项目对应中小企业划分标准所属行业为：其他未列明行业。</w:t>
      </w:r>
      <w:r>
        <w:rPr/>
        <w:t>单位负责人为同一人或者彼此存在投资与被投资关系的、彼此的经营者、董事会（或同类管理机构）成员属于直系亲属或配偶关系的、法定代表人或单位负责人为同一人或者存在控股、管理关系的不同供应商，不得参加同一项目的投标；</w:t>
      </w:r>
      <w:r>
        <w:rPr/>
        <w:t>本项目不接受联合体投标。</w:t>
      </w:r>
    </w:p>
    <w:p/>
    <w:p>
      <w:r>
        <w:rPr>
          <w:b/>
          <w:sz w:val="24"/>
        </w:rPr>
        <w:t>3.本项目特定的资格要求：</w:t>
      </w:r>
    </w:p>
    <w:p>
      <w:pPr>
        <w:ind w:firstLine="480"/>
      </w:pPr>
    </w:p>
    <w:p/>
    <w:p>
      <w:r>
        <w:rPr/>
        <w:t>采购包1（明珠湾起步区智慧城市数据治理服务项目）：</w:t>
      </w:r>
    </w:p>
    <w:p/>
    <w:p>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广州市南沙新区明珠湾开发建设管理局</w:t>
      </w:r>
    </w:p>
    <w:p>
      <w:pPr>
        <w:ind w:firstLine="480"/>
      </w:pPr>
      <w:r>
        <w:rPr/>
        <w:t>地址：</w:t>
      </w:r>
      <w:r>
        <w:rPr/>
        <w:t>广州市南沙区横沥镇明珠1街1号明珠开发大厦8楼</w:t>
      </w:r>
    </w:p>
    <w:p>
      <w:pPr>
        <w:ind w:firstLine="480"/>
      </w:pPr>
      <w:r>
        <w:rPr/>
        <w:t>联系方式：</w:t>
      </w:r>
      <w:r>
        <w:rPr/>
        <w:t>020-39088190</w:t>
      </w:r>
    </w:p>
    <w:p>
      <w:r>
        <w:rPr>
          <w:b/>
          <w:sz w:val="24"/>
        </w:rPr>
        <w:t>2.采购代理机构信息</w:t>
      </w:r>
    </w:p>
    <w:p>
      <w:pPr>
        <w:ind w:firstLine="480"/>
      </w:pPr>
      <w:r>
        <w:rPr/>
        <w:t>名称：</w:t>
      </w:r>
      <w:r>
        <w:rPr/>
        <w:t>广东国利招标有限公司</w:t>
      </w:r>
    </w:p>
    <w:p>
      <w:pPr>
        <w:ind w:firstLine="480"/>
      </w:pPr>
      <w:r>
        <w:rPr/>
        <w:t>地址：</w:t>
      </w:r>
      <w:r>
        <w:rPr/>
        <w:t>广州市天河区珠江新城保利克洛维中盈大厦22楼2202室</w:t>
      </w:r>
    </w:p>
    <w:p>
      <w:pPr>
        <w:ind w:firstLine="480"/>
      </w:pPr>
      <w:r>
        <w:rPr/>
        <w:t>联系方式：</w:t>
      </w:r>
      <w:r>
        <w:rPr/>
        <w:t>020-85200402</w:t>
      </w:r>
    </w:p>
    <w:p>
      <w:r>
        <w:rPr>
          <w:b/>
          <w:sz w:val="24"/>
        </w:rPr>
        <w:t>3.项目联系方式</w:t>
      </w:r>
    </w:p>
    <w:p>
      <w:pPr>
        <w:ind w:firstLine="480"/>
      </w:pPr>
      <w:r>
        <w:rPr/>
        <w:t>项目联系人：</w:t>
      </w:r>
      <w:r>
        <w:rPr/>
        <w:t>林小姐</w:t>
      </w:r>
    </w:p>
    <w:p>
      <w:pPr>
        <w:ind w:firstLine="480"/>
      </w:pPr>
      <w:r>
        <w:rPr/>
        <w:t>电话：</w:t>
      </w:r>
      <w:r>
        <w:rPr/>
        <w:t>020-85200402</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广东国利招标有限公司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pPr>
      <w:r>
        <w:rPr>
          <w:color w:val="000000"/>
          <w:sz w:val="24"/>
        </w:rPr>
        <w:t>基于明珠湾智慧城市信息平台（以下简称</w:t>
      </w:r>
      <w:r>
        <w:rPr>
          <w:color w:val="000000"/>
          <w:sz w:val="24"/>
        </w:rPr>
        <w:t>“平台”）前期建设成果，落实数据中心标准规范及管理机制，为智慧物联网设施统一服务能力提供支撑，扩充基础时空数据库，主要包括DLG数据、地下综合管线数据、倾斜摄影数据、正射摄影数据、物联网数据等，从而构建以“数字孪生”特性为基础的城市信息数据立体模型。结合数据治理服务，提高数据导入的及时性与准确性，推进常态化数据更新，深化数据协同、数据共享与交换，完善平台的数据体系，提高数据集成能力、平台智能化感知能力。拓宽数据共享与交换渠道，打通网络壁垒，利用明珠湾智慧城市信息平台已有成果和灵山岛尖城市运营公司已建的城市综合管理平台，为实现运营可视化、运营服务监管、城市实时监测的深度对接和整合提供前提支撑。结合平台所产生的的各类数据，为上级单位及各类系统（例如穗智管应用，城市大脑应用）等提供数据底座支撑。全面提升全区政务信息共享支撑水平，最终全面服务于南沙区数字化治理能力建设和数字社会智慧化应用。</w:t>
      </w:r>
    </w:p>
    <w:tbl>
      <w:tblPr>
        <w:tblW w:w="0" w:type="auto"/>
        <w:tblBorders>
          <w:top w:val="none" w:color="000000" w:sz="4"/>
          <w:left w:val="none" w:color="000000" w:sz="4"/>
          <w:bottom w:val="none" w:color="000000" w:sz="4"/>
          <w:right w:val="none" w:color="000000" w:sz="4"/>
          <w:insideH w:val="none"/>
          <w:insideV w:val="none"/>
        </w:tblBorders>
      </w:tblPr>
      <w:tblGrid>
        <w:gridCol w:w="2146"/>
        <w:gridCol w:w="791"/>
        <w:gridCol w:w="805"/>
        <w:gridCol w:w="1838"/>
        <w:gridCol w:w="2697"/>
      </w:tblGrid>
      <w:tr>
        <w:tc>
          <w:tcPr>
            <w:tcW w:type="dxa" w:w="2146"/>
            <w:tcBorders>
              <w:top w:val="single" w:color="000000" w:sz="4"/>
              <w:left w:val="single" w:color="000000" w:sz="4"/>
              <w:bottom w:val="single" w:color="000000" w:sz="4"/>
              <w:right w:val="single" w:color="000000" w:sz="4"/>
            </w:tcBorders>
            <w:shd w:fill="E0E0E0"/>
            <w:vAlign w:val="top"/>
          </w:tcPr>
          <w:p>
            <w:pPr>
              <w:jc w:val="center"/>
            </w:pPr>
            <w:r>
              <w:rPr>
                <w:b/>
                <w:sz w:val="24"/>
              </w:rPr>
              <w:t>项目名称</w:t>
            </w:r>
          </w:p>
        </w:tc>
        <w:tc>
          <w:tcPr>
            <w:tcW w:type="dxa" w:w="791"/>
            <w:tcBorders>
              <w:top w:val="single" w:color="000000" w:sz="4"/>
              <w:left w:val="none" w:color="000000" w:sz="4"/>
              <w:bottom w:val="single" w:color="000000" w:sz="4"/>
              <w:right w:val="single" w:color="000000" w:sz="4"/>
            </w:tcBorders>
            <w:shd w:fill="E0E0E0"/>
            <w:vAlign w:val="top"/>
          </w:tcPr>
          <w:p>
            <w:pPr>
              <w:jc w:val="center"/>
            </w:pPr>
            <w:r>
              <w:rPr>
                <w:b/>
                <w:sz w:val="24"/>
              </w:rPr>
              <w:t>类</w:t>
            </w:r>
            <w:r>
              <w:rPr>
                <w:b/>
                <w:sz w:val="24"/>
              </w:rPr>
              <w:t>别</w:t>
            </w:r>
          </w:p>
        </w:tc>
        <w:tc>
          <w:tcPr>
            <w:tcW w:type="dxa" w:w="805"/>
            <w:tcBorders>
              <w:top w:val="single" w:color="000000" w:sz="4"/>
              <w:left w:val="none" w:color="000000" w:sz="4"/>
              <w:bottom w:val="single" w:color="000000" w:sz="4"/>
              <w:right w:val="single" w:color="000000" w:sz="4"/>
            </w:tcBorders>
            <w:shd w:fill="E0E0E0"/>
            <w:vAlign w:val="top"/>
          </w:tcPr>
          <w:p>
            <w:pPr>
              <w:jc w:val="center"/>
            </w:pPr>
            <w:r>
              <w:rPr>
                <w:b/>
                <w:sz w:val="24"/>
              </w:rPr>
              <w:t>数</w:t>
            </w:r>
            <w:r>
              <w:rPr>
                <w:b/>
                <w:sz w:val="24"/>
              </w:rPr>
              <w:t>量</w:t>
            </w:r>
          </w:p>
        </w:tc>
        <w:tc>
          <w:tcPr>
            <w:tcW w:type="dxa" w:w="1838"/>
            <w:tcBorders>
              <w:top w:val="single" w:color="000000" w:sz="4"/>
              <w:left w:val="none" w:color="000000" w:sz="4"/>
              <w:bottom w:val="single" w:color="000000" w:sz="4"/>
              <w:right w:val="single" w:color="000000" w:sz="4"/>
            </w:tcBorders>
            <w:shd w:fill="E0E0E0"/>
            <w:vAlign w:val="top"/>
          </w:tcPr>
          <w:p>
            <w:pPr>
              <w:jc w:val="center"/>
            </w:pPr>
            <w:r>
              <w:rPr>
                <w:b/>
                <w:sz w:val="24"/>
              </w:rPr>
              <w:t>服务期限</w:t>
            </w:r>
          </w:p>
        </w:tc>
        <w:tc>
          <w:tcPr>
            <w:tcW w:type="dxa" w:w="2697"/>
            <w:tcBorders>
              <w:top w:val="single" w:color="000000" w:sz="4"/>
              <w:left w:val="none" w:color="000000" w:sz="4"/>
              <w:bottom w:val="single" w:color="000000" w:sz="4"/>
              <w:right w:val="single" w:color="000000" w:sz="4"/>
            </w:tcBorders>
            <w:shd w:fill="E0E0E0"/>
            <w:vAlign w:val="top"/>
          </w:tcPr>
          <w:p>
            <w:pPr>
              <w:jc w:val="center"/>
            </w:pPr>
            <w:r>
              <w:rPr>
                <w:b/>
                <w:sz w:val="24"/>
              </w:rPr>
              <w:t>最高限价（人民币）</w:t>
            </w:r>
          </w:p>
        </w:tc>
      </w:tr>
      <w:tr>
        <w:tc>
          <w:tcPr>
            <w:tcW w:type="dxa" w:w="2146"/>
            <w:tcBorders>
              <w:top w:val="none" w:color="000000" w:sz="4"/>
              <w:left w:val="single" w:color="000000" w:sz="4"/>
              <w:bottom w:val="single" w:color="000000" w:sz="4"/>
              <w:right w:val="single" w:color="000000" w:sz="4"/>
            </w:tcBorders>
            <w:vAlign w:val="top"/>
          </w:tcPr>
          <w:p>
            <w:pPr>
              <w:jc w:val="center"/>
            </w:pPr>
            <w:r>
              <w:rPr>
                <w:sz w:val="24"/>
              </w:rPr>
              <w:t>明珠湾起步区智慧城市数据治理服务项目</w:t>
            </w:r>
          </w:p>
        </w:tc>
        <w:tc>
          <w:tcPr>
            <w:tcW w:type="dxa" w:w="791"/>
            <w:tcBorders>
              <w:top w:val="none" w:color="000000" w:sz="4"/>
              <w:left w:val="none" w:color="000000" w:sz="4"/>
              <w:bottom w:val="single" w:color="000000" w:sz="4"/>
              <w:right w:val="single" w:color="000000" w:sz="4"/>
            </w:tcBorders>
            <w:vAlign w:val="top"/>
          </w:tcPr>
          <w:p>
            <w:pPr>
              <w:jc w:val="center"/>
            </w:pPr>
            <w:r>
              <w:rPr>
                <w:sz w:val="24"/>
              </w:rPr>
              <w:t>服务类</w:t>
            </w:r>
          </w:p>
        </w:tc>
        <w:tc>
          <w:tcPr>
            <w:tcW w:type="dxa" w:w="805"/>
            <w:tcBorders>
              <w:top w:val="none" w:color="000000" w:sz="4"/>
              <w:left w:val="none" w:color="000000" w:sz="4"/>
              <w:bottom w:val="single" w:color="000000" w:sz="4"/>
              <w:right w:val="single" w:color="000000" w:sz="4"/>
            </w:tcBorders>
            <w:vAlign w:val="top"/>
          </w:tcPr>
          <w:p>
            <w:pPr>
              <w:jc w:val="center"/>
            </w:pPr>
            <w:r>
              <w:rPr>
                <w:sz w:val="24"/>
              </w:rPr>
              <w:t>1项</w:t>
            </w:r>
          </w:p>
        </w:tc>
        <w:tc>
          <w:tcPr>
            <w:tcW w:type="dxa" w:w="1838"/>
            <w:tcBorders>
              <w:top w:val="none" w:color="000000" w:sz="4"/>
              <w:left w:val="none" w:color="000000" w:sz="4"/>
              <w:bottom w:val="single" w:color="000000" w:sz="4"/>
              <w:right w:val="single" w:color="000000" w:sz="4"/>
            </w:tcBorders>
            <w:vAlign w:val="top"/>
          </w:tcPr>
          <w:p>
            <w:pPr>
              <w:jc w:val="center"/>
            </w:pPr>
            <w:r>
              <w:rPr>
                <w:sz w:val="24"/>
              </w:rPr>
              <w:t>自合同签订之日起</w:t>
            </w:r>
            <w:r>
              <w:rPr>
                <w:sz w:val="24"/>
              </w:rPr>
              <w:t>18个月</w:t>
            </w:r>
          </w:p>
        </w:tc>
        <w:tc>
          <w:tcPr>
            <w:tcW w:type="dxa" w:w="2697"/>
            <w:tcBorders>
              <w:top w:val="none" w:color="000000" w:sz="4"/>
              <w:left w:val="none" w:color="000000" w:sz="4"/>
              <w:bottom w:val="single" w:color="000000" w:sz="4"/>
              <w:right w:val="single" w:color="000000" w:sz="4"/>
            </w:tcBorders>
            <w:vAlign w:val="top"/>
          </w:tcPr>
          <w:p>
            <w:pPr>
              <w:jc w:val="center"/>
            </w:pPr>
            <w:r>
              <w:rPr>
                <w:b/>
                <w:sz w:val="24"/>
              </w:rPr>
              <w:t>¥212.35万元。</w:t>
            </w:r>
          </w:p>
          <w:p>
            <w:pPr>
              <w:jc w:val="center"/>
            </w:pPr>
            <w:r>
              <w:rPr>
                <w:b/>
                <w:sz w:val="24"/>
              </w:rPr>
              <w:t>投标报价超出最高限价投标无效</w:t>
            </w:r>
          </w:p>
        </w:tc>
      </w:tr>
    </w:tbl>
    <w:p>
      <w:pPr>
        <w:jc w:val="both"/>
      </w:pPr>
      <w:r>
        <w:rPr>
          <w:sz w:val="24"/>
        </w:rPr>
        <w:t>注：投标人应对本项目全部内容进行投标，不允许只对其中部分内容进行投标，任何只对其中部分内容进行的投标均被视为无效投标。</w:t>
      </w:r>
    </w:p>
    <w:p/>
    <w:p>
      <w:pPr>
        <w:ind w:firstLine="480"/>
      </w:pPr>
    </w:p>
    <w:p/>
    <w:p>
      <w:r>
        <w:rPr/>
        <w:t>采购包1（明珠湾起步区智慧城市数据治理服务项目）：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自合同签订之日起18个月</w:t>
            </w:r>
          </w:p>
        </w:tc>
      </w:tr>
      <w:tr>
        <w:tc>
          <w:tcPr>
            <w:tcW w:type="dxa" w:w="4153"/>
          </w:tcPr>
          <w:p>
            <w:r>
              <w:rPr/>
              <w:t>标的提供的地点</w:t>
            </w:r>
          </w:p>
        </w:tc>
        <w:tc>
          <w:tcPr>
            <w:tcW w:type="dxa" w:w="4153"/>
          </w:tcPr>
          <w:p>
            <w:pPr>
              <w:jc w:val="left"/>
            </w:pPr>
          </w:p>
          <w:p>
            <w:r>
              <w:rPr/>
              <w:t>按采购人要求</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1期：支付比例30%，第一阶段：在签订服务合同并收到合格发票后5个工作日内办理支付手续，支付金额为中标金额的30%；</w:t>
            </w:r>
          </w:p>
          <w:p/>
          <w:p>
            <w:r>
              <w:rPr/>
              <w:t>2期：支付比例40%，第二阶段：完成数据处理及更新建库、数据整理和一半以上的主题库建设工作且经过甲方审核同意后并收到合格发票后5个工作日内办理支付手续，支付金额为中标金额的40%；</w:t>
            </w:r>
          </w:p>
          <w:p/>
          <w:p>
            <w:r>
              <w:rPr/>
              <w:t>3期：支付比例30%，第三阶段：本项目服务期满且通过项目验收，在收到合格发票后5个工作日内办理支付手续，支付金额为中标金额的30%。具体以项目合同所约定的支付计划为准。本项目属于政府财政投资，需按政府财政资金使用相关规定执行，采购人向政府财政部门提出付款申请后，即视为采购人已经完成付款义务，政府财政部门审核的时间不包含在采购人的付款期限内，且付款金额以政府财政部门最终审核的金额为准。若中标人未能按时提供合法合规发票给采购人，采购人有权延迟付款直至收到中标人提供的正规等额发票并无需承担违约责任。</w:t>
            </w:r>
          </w:p>
        </w:tc>
      </w:tr>
      <w:tr>
        <w:tc>
          <w:tcPr>
            <w:tcW w:type="dxa" w:w="4153"/>
          </w:tcPr>
          <w:p>
            <w:r>
              <w:rPr/>
              <w:t>验收要求</w:t>
            </w:r>
          </w:p>
        </w:tc>
        <w:tc>
          <w:tcPr>
            <w:tcW w:type="dxa" w:w="4153"/>
          </w:tcPr>
          <w:p>
            <w:pPr>
              <w:jc w:val="left"/>
            </w:pPr>
          </w:p>
          <w:p/>
          <w:p/>
          <w:p>
            <w:r>
              <w:rPr/>
              <w:t>1期：采购人按照本项目的服务要求和相关规定，对中标人进行履约验收。采购人将通过中标人和所拟派服务人员是否按照中标人要求和本项目需求提供服务和服务情况等内容进行履约验收，并出具验收报告。若验收不合格，采购人有权要求中标人进行整改，若整改之后仍不合格，采购人有权终止合同。</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其他服务</w:t>
            </w:r>
          </w:p>
        </w:tc>
        <w:tc>
          <w:tcPr>
            <w:tcW w:type="dxa" w:w="1923"/>
          </w:tcPr>
          <w:p>
            <w:r>
              <w:rPr/>
              <w:t>明珠湾起步区智慧城市数据治理服务项目</w:t>
            </w:r>
          </w:p>
        </w:tc>
        <w:tc>
          <w:tcPr>
            <w:tcW w:type="dxa" w:w="385"/>
          </w:tcPr>
          <w:p>
            <w:r>
              <w:rPr/>
              <w:t>项</w:t>
            </w:r>
          </w:p>
        </w:tc>
        <w:tc>
          <w:tcPr>
            <w:tcW w:type="dxa" w:w="769"/>
          </w:tcPr>
          <w:p>
            <w:pPr>
              <w:jc w:val="right"/>
            </w:pPr>
            <w:r>
              <w:rPr/>
              <w:t>1.00</w:t>
            </w:r>
          </w:p>
        </w:tc>
        <w:tc>
          <w:tcPr>
            <w:tcW w:type="dxa" w:w="769"/>
          </w:tcPr>
          <w:p>
            <w:pPr>
              <w:jc w:val="right"/>
            </w:pPr>
            <w:r>
              <w:rPr/>
              <w:t>2,123,500.00</w:t>
            </w:r>
          </w:p>
        </w:tc>
        <w:tc>
          <w:tcPr>
            <w:tcW w:type="dxa" w:w="769"/>
          </w:tcPr>
          <w:p>
            <w:pPr>
              <w:jc w:val="right"/>
            </w:pPr>
            <w:r>
              <w:rPr/>
              <w:t>2,123,500.00</w:t>
            </w:r>
          </w:p>
        </w:tc>
        <w:tc>
          <w:tcPr>
            <w:tcW w:type="dxa" w:w="769"/>
          </w:tcPr>
          <w:p>
            <w:r>
              <w:rPr/>
              <w:t>其他未列明行业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明珠湾起步区智慧城市数据治理服务项目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82"/>
            </w:pPr>
            <w:r>
              <w:rPr>
                <w:b/>
                <w:sz w:val="24"/>
              </w:rPr>
              <w:t>一、项目内容</w:t>
            </w:r>
          </w:p>
          <w:p>
            <w:pPr>
              <w:ind w:firstLine="480"/>
            </w:pPr>
            <w:r>
              <w:rPr>
                <w:color w:val="000000"/>
                <w:sz w:val="24"/>
              </w:rPr>
              <w:t>本次采购项目要求中标人主要完成以下工作：负责明珠湾起步区智慧城市数据治理服务项目。本项目费用不超过</w:t>
            </w:r>
            <w:r>
              <w:rPr>
                <w:color w:val="000000"/>
                <w:sz w:val="24"/>
              </w:rPr>
              <w:t>212.35万元总金额，对服务期内预计工作内容（包括但不限于）如下：</w:t>
            </w:r>
          </w:p>
          <w:p>
            <w:pPr>
              <w:ind w:firstLine="480"/>
            </w:pPr>
            <w:r>
              <w:rPr>
                <w:sz w:val="24"/>
              </w:rPr>
              <w:t>1.基础数据更新建库需求</w:t>
            </w:r>
          </w:p>
          <w:p>
            <w:pPr>
              <w:ind w:firstLine="480"/>
            </w:pPr>
            <w:r>
              <w:rPr>
                <w:sz w:val="24"/>
              </w:rPr>
              <w:t>明珠湾智慧城市信息平台建设过程中，虽已积累了部分地理信息数据，如大比例尺矢量数据、高分辨率影像数据、三维数据、物联网节点数据等，已形成时空一体化的基础数据。随着城市发展，基于已有的高精度定位数据、实时动态数据、地理实体数据等进行更新建库，需结合上层系统以及共享数据特点，逐步为各类应用提供动态的、高精度的、实时性强的数据基础，完善智慧明珠湾时空大数据中心。</w:t>
            </w:r>
          </w:p>
          <w:p>
            <w:pPr>
              <w:jc w:val="both"/>
            </w:pPr>
            <w:r>
              <w:rPr>
                <w:sz w:val="24"/>
              </w:rPr>
              <w:t>目前明珠湾管理局没有将城市管理业务数据纳入管理局内部，作为片区内主管单位，需完成城市管理日常数据以及物联网数据的收集存储，同时需对接工程建设数据、智能驾驶数据以及物联网数据，基于业务数据进行融合分析，进一步完善管理局在区域范围内的全局管理需求。</w:t>
            </w:r>
          </w:p>
        </w:tc>
      </w:tr>
      <w:tr>
        <w:tc>
          <w:tcPr>
            <w:tcW w:type="dxa" w:w="2076"/>
          </w:tcPr>
          <w:p>
            <w:r>
              <w:rPr/>
              <w:t>★</w:t>
            </w:r>
          </w:p>
        </w:tc>
        <w:tc>
          <w:tcPr>
            <w:tcW w:type="dxa" w:w="415"/>
          </w:tcPr>
          <w:p>
            <w:r>
              <w:rPr/>
              <w:t>2</w:t>
            </w:r>
          </w:p>
        </w:tc>
        <w:tc>
          <w:tcPr>
            <w:tcW w:type="dxa" w:w="5814"/>
          </w:tcPr>
          <w:p>
            <w:pPr>
              <w:jc w:val="both"/>
            </w:pPr>
            <w:r>
              <w:rPr>
                <w:b/>
                <w:sz w:val="24"/>
              </w:rPr>
              <w:t>投标人承诺</w:t>
            </w:r>
            <w:r>
              <w:rPr>
                <w:b/>
                <w:sz w:val="24"/>
              </w:rPr>
              <w:t>（提供承诺函）</w:t>
            </w:r>
            <w:r>
              <w:rPr>
                <w:b/>
                <w:sz w:val="24"/>
              </w:rPr>
              <w:t>中标后</w:t>
            </w:r>
            <w:r>
              <w:rPr>
                <w:b/>
                <w:sz w:val="24"/>
              </w:rPr>
              <w:t>本项目数据治理服务原则上需使用</w:t>
            </w:r>
            <w:r>
              <w:rPr>
                <w:b/>
                <w:sz w:val="24"/>
              </w:rPr>
              <w:t>中</w:t>
            </w:r>
            <w:r>
              <w:rPr>
                <w:b/>
                <w:sz w:val="24"/>
              </w:rPr>
              <w:t>标人自</w:t>
            </w:r>
            <w:r>
              <w:rPr>
                <w:b/>
                <w:sz w:val="24"/>
              </w:rPr>
              <w:t>行提供</w:t>
            </w:r>
            <w:r>
              <w:rPr>
                <w:b/>
                <w:sz w:val="24"/>
              </w:rPr>
              <w:t>的</w:t>
            </w:r>
            <w:r>
              <w:rPr>
                <w:b/>
                <w:sz w:val="24"/>
              </w:rPr>
              <w:t>配套工具</w:t>
            </w:r>
            <w:r>
              <w:rPr>
                <w:b/>
                <w:sz w:val="24"/>
              </w:rPr>
              <w:t>。</w:t>
            </w:r>
          </w:p>
        </w:tc>
      </w:tr>
      <w:tr>
        <w:tc>
          <w:tcPr>
            <w:tcW w:type="dxa" w:w="2076"/>
          </w:tcPr>
          <w:p/>
        </w:tc>
        <w:tc>
          <w:tcPr>
            <w:tcW w:type="dxa" w:w="415"/>
          </w:tcPr>
          <w:p>
            <w:r>
              <w:rPr/>
              <w:t>3</w:t>
            </w:r>
          </w:p>
        </w:tc>
        <w:tc>
          <w:tcPr>
            <w:tcW w:type="dxa" w:w="5814"/>
          </w:tcPr>
          <w:p>
            <w:pPr>
              <w:ind w:firstLine="480"/>
            </w:pPr>
            <w:r>
              <w:rPr>
                <w:sz w:val="24"/>
              </w:rPr>
              <w:t>2.数据整合治理需求</w:t>
            </w:r>
          </w:p>
          <w:p>
            <w:pPr>
              <w:ind w:firstLine="480"/>
            </w:pPr>
            <w:r>
              <w:rPr>
                <w:sz w:val="24"/>
              </w:rPr>
              <w:t>因本项目涉及到的数据来源广，体量大且结构多样。需将这些多源异构的海量数据从收集汇聚、整体评估、标准化整理、数据质量控制、综合分析等方面进行有效组织，逐步构建完善的数据一体化服务链条，加强数据全生命周期治理服务内容，推动数据治理工作持续有效开展，为</w:t>
            </w:r>
            <w:r>
              <w:rPr>
                <w:sz w:val="24"/>
              </w:rPr>
              <w:t>“数字孪生”城市建设奠定根基，为明珠湾区规划建设服务提供基础支撑。</w:t>
            </w:r>
          </w:p>
          <w:p>
            <w:pPr>
              <w:ind w:firstLine="480"/>
            </w:pPr>
            <w:r>
              <w:rPr>
                <w:sz w:val="24"/>
              </w:rPr>
              <w:t>3.标准规范、管理机制需求</w:t>
            </w:r>
          </w:p>
          <w:p>
            <w:pPr>
              <w:ind w:firstLine="480"/>
            </w:pPr>
            <w:r>
              <w:rPr>
                <w:sz w:val="24"/>
              </w:rPr>
              <w:t>数据种类多、业务辅助繁杂，数据必须是法定、真实的。为了保障数据的权威性，需按照</w:t>
            </w:r>
            <w:r>
              <w:rPr>
                <w:sz w:val="24"/>
              </w:rPr>
              <w:t>“权威数据来自权威部门”的总体原则，结合实际的业务需求，按照国家、市级、区级等相关要求建立平台的资源目录体系，指导平台数据体系的建设。从城市管理决策角度，整合城市建设专题数据（包括二维、三维数据）、地下空间数据、智能感知数据时，需要建立时空基础数据建库标准规范、时空三维数据标准规范、电子地图数据处理规范、物联网数据汇交规范等，为有效促进数据共享流通开放，实现数据标准性、一致性、权威性提供前提条件。</w:t>
            </w:r>
          </w:p>
          <w:p>
            <w:pPr>
              <w:ind w:firstLine="480"/>
            </w:pPr>
            <w:r>
              <w:rPr>
                <w:sz w:val="24"/>
              </w:rPr>
              <w:t>因目前平台使用对象将比较复杂，需协调部门多，数据保密及更新存在管理一定问题。因此，为了平台的长期稳定运行，需编制部门协调机制、数据保密机制自己数据更新机制。</w:t>
            </w:r>
          </w:p>
          <w:p>
            <w:pPr>
              <w:jc w:val="both"/>
            </w:pPr>
            <w:r>
              <w:rPr>
                <w:sz w:val="24"/>
              </w:rPr>
              <w:t>同时需遵循南沙区政府信息资源管理办法，定期将</w:t>
            </w:r>
            <w:r>
              <w:rPr>
                <w:sz w:val="24"/>
              </w:rPr>
              <w:t>采购人</w:t>
            </w:r>
            <w:r>
              <w:rPr>
                <w:sz w:val="24"/>
              </w:rPr>
              <w:t>无条件共享类及</w:t>
            </w:r>
            <w:r>
              <w:rPr>
                <w:sz w:val="24"/>
              </w:rPr>
              <w:t>有</w:t>
            </w:r>
            <w:r>
              <w:rPr>
                <w:sz w:val="24"/>
              </w:rPr>
              <w:t>条件共享类政务信息资源通过共享平台或全域大数据中心平台提供给区信息化主管部门。根据共享目录所规定的元数据内容（包括信息资源格式、数据更新频率、数据更新途径及字段信息等）定时向区公共资源共享服务平台提供数据，保证信息资源的准确性、时效性，并根据区内平台（如穗智管区级平台、城市大脑、其他委办局相关系统）使用单位反馈意见及时查核完善。</w:t>
            </w:r>
          </w:p>
        </w:tc>
      </w:tr>
      <w:tr>
        <w:tc>
          <w:tcPr>
            <w:tcW w:type="dxa" w:w="2076"/>
          </w:tcPr>
          <w:p>
            <w:r>
              <w:rPr/>
              <w:t>★</w:t>
            </w:r>
          </w:p>
        </w:tc>
        <w:tc>
          <w:tcPr>
            <w:tcW w:type="dxa" w:w="415"/>
          </w:tcPr>
          <w:p>
            <w:r>
              <w:rPr/>
              <w:t>4</w:t>
            </w:r>
          </w:p>
        </w:tc>
        <w:tc>
          <w:tcPr>
            <w:tcW w:type="dxa" w:w="5814"/>
          </w:tcPr>
          <w:p>
            <w:pPr>
              <w:jc w:val="both"/>
            </w:pPr>
            <w:r>
              <w:rPr>
                <w:b/>
                <w:sz w:val="24"/>
              </w:rPr>
              <w:t>投标人承诺</w:t>
            </w:r>
            <w:r>
              <w:rPr>
                <w:b/>
                <w:sz w:val="24"/>
              </w:rPr>
              <w:t>（提供承诺函）</w:t>
            </w:r>
            <w:r>
              <w:rPr>
                <w:b/>
                <w:sz w:val="24"/>
              </w:rPr>
              <w:t>中标后</w:t>
            </w:r>
            <w:r>
              <w:rPr>
                <w:b/>
                <w:sz w:val="24"/>
              </w:rPr>
              <w:t>结合</w:t>
            </w:r>
            <w:r>
              <w:rPr>
                <w:b/>
                <w:sz w:val="24"/>
              </w:rPr>
              <w:t>明珠湾</w:t>
            </w:r>
            <w:r>
              <w:rPr>
                <w:b/>
                <w:sz w:val="24"/>
              </w:rPr>
              <w:t>实际情况，从数据采集、</w:t>
            </w:r>
            <w:r>
              <w:rPr>
                <w:b/>
                <w:sz w:val="24"/>
              </w:rPr>
              <w:t>数据融合</w:t>
            </w:r>
            <w:r>
              <w:rPr>
                <w:b/>
                <w:sz w:val="24"/>
              </w:rPr>
              <w:t>、数据汇聚、数据</w:t>
            </w:r>
            <w:r>
              <w:rPr>
                <w:b/>
                <w:sz w:val="24"/>
              </w:rPr>
              <w:t>共享</w:t>
            </w:r>
            <w:r>
              <w:rPr>
                <w:b/>
                <w:sz w:val="24"/>
              </w:rPr>
              <w:t>等各个环节进行评价分析，制定</w:t>
            </w:r>
            <w:r>
              <w:rPr>
                <w:b/>
                <w:sz w:val="24"/>
              </w:rPr>
              <w:t>明珠湾</w:t>
            </w:r>
            <w:r>
              <w:rPr>
                <w:b/>
                <w:sz w:val="24"/>
              </w:rPr>
              <w:t>数据资源管理</w:t>
            </w:r>
            <w:r>
              <w:rPr>
                <w:b/>
                <w:sz w:val="24"/>
              </w:rPr>
              <w:t>标准规范、管理机制</w:t>
            </w:r>
            <w:r>
              <w:rPr>
                <w:b/>
                <w:sz w:val="24"/>
              </w:rPr>
              <w:t>体系</w:t>
            </w:r>
            <w:r>
              <w:rPr>
                <w:b/>
                <w:sz w:val="24"/>
              </w:rPr>
              <w:t>。</w:t>
            </w:r>
          </w:p>
        </w:tc>
      </w:tr>
      <w:tr>
        <w:tc>
          <w:tcPr>
            <w:tcW w:type="dxa" w:w="2076"/>
          </w:tcPr>
          <w:p/>
        </w:tc>
        <w:tc>
          <w:tcPr>
            <w:tcW w:type="dxa" w:w="415"/>
          </w:tcPr>
          <w:p>
            <w:r>
              <w:rPr/>
              <w:t>5</w:t>
            </w:r>
          </w:p>
        </w:tc>
        <w:tc>
          <w:tcPr>
            <w:tcW w:type="dxa" w:w="5814"/>
          </w:tcPr>
          <w:p>
            <w:pPr>
              <w:ind w:firstLine="480"/>
            </w:pPr>
            <w:r>
              <w:rPr>
                <w:sz w:val="24"/>
              </w:rPr>
              <w:t>4.关联系统和接口需求分析</w:t>
            </w:r>
          </w:p>
          <w:p>
            <w:pPr>
              <w:ind w:firstLine="480"/>
            </w:pPr>
            <w:r>
              <w:rPr>
                <w:sz w:val="24"/>
              </w:rPr>
              <w:t>本次需以明珠湾起步区智慧城市信息平台为基础、对接广州南沙明珠湾区起步区开发建设指挥部工程管理信息系统、明珠湾起步区灵山岛尖智能驾驶示范支撑系统、城市运营数字化综合管理平台等系统。系统需提供封装良好、方便实用的功能服务与数据服务接口，以便实现平台功能与数据的有效共享。</w:t>
            </w:r>
          </w:p>
          <w:p>
            <w:pPr>
              <w:ind w:firstLine="480"/>
            </w:pPr>
            <w:r>
              <w:rPr>
                <w:sz w:val="24"/>
              </w:rPr>
              <w:t>5.系统接口参数需求</w:t>
            </w:r>
          </w:p>
          <w:p>
            <w:pPr>
              <w:jc w:val="both"/>
            </w:pPr>
            <w:r>
              <w:rPr>
                <w:sz w:val="24"/>
              </w:rPr>
              <w:t>数据接口应当遵照</w:t>
            </w:r>
            <w:r>
              <w:rPr>
                <w:sz w:val="24"/>
              </w:rPr>
              <w:t>《</w:t>
            </w:r>
            <w:r>
              <w:rPr>
                <w:sz w:val="24"/>
              </w:rPr>
              <w:t>OGC Web 服务通用规范》</w:t>
            </w:r>
            <w:r>
              <w:rPr>
                <w:sz w:val="24"/>
              </w:rPr>
              <w:t>制定接口服务方法</w:t>
            </w:r>
            <w:r>
              <w:rPr>
                <w:sz w:val="24"/>
              </w:rPr>
              <w:t>，</w:t>
            </w:r>
            <w:r>
              <w:rPr>
                <w:sz w:val="24"/>
              </w:rPr>
              <w:t>支持</w:t>
            </w:r>
            <w:r>
              <w:rPr>
                <w:sz w:val="24"/>
              </w:rPr>
              <w:t>WMS、WFS、WMTS</w:t>
            </w:r>
            <w:r>
              <w:rPr>
                <w:sz w:val="24"/>
              </w:rPr>
              <w:t>、</w:t>
            </w:r>
            <w:r>
              <w:rPr>
                <w:sz w:val="24"/>
              </w:rPr>
              <w:t>Restful等通用接口类型。</w:t>
            </w:r>
          </w:p>
        </w:tc>
      </w:tr>
      <w:tr>
        <w:tc>
          <w:tcPr>
            <w:tcW w:type="dxa" w:w="2076"/>
          </w:tcPr>
          <w:p>
            <w:r>
              <w:rPr/>
              <w:t>★</w:t>
            </w:r>
          </w:p>
        </w:tc>
        <w:tc>
          <w:tcPr>
            <w:tcW w:type="dxa" w:w="415"/>
          </w:tcPr>
          <w:p>
            <w:r>
              <w:rPr/>
              <w:t>6</w:t>
            </w:r>
          </w:p>
        </w:tc>
        <w:tc>
          <w:tcPr>
            <w:tcW w:type="dxa" w:w="5814"/>
          </w:tcPr>
          <w:p>
            <w:pPr>
              <w:jc w:val="both"/>
            </w:pPr>
            <w:r>
              <w:rPr>
                <w:b/>
                <w:sz w:val="24"/>
              </w:rPr>
              <w:t>投标人承诺（提供承诺函）中标后完成明珠湾建设的信息系统与全域数据中心的系统信息进行登记管理。</w:t>
            </w:r>
          </w:p>
        </w:tc>
      </w:tr>
      <w:tr>
        <w:tc>
          <w:tcPr>
            <w:tcW w:type="dxa" w:w="2076"/>
          </w:tcPr>
          <w:p/>
        </w:tc>
        <w:tc>
          <w:tcPr>
            <w:tcW w:type="dxa" w:w="415"/>
          </w:tcPr>
          <w:p>
            <w:r>
              <w:rPr/>
              <w:t>7</w:t>
            </w:r>
          </w:p>
        </w:tc>
        <w:tc>
          <w:tcPr>
            <w:tcW w:type="dxa" w:w="5814"/>
          </w:tcPr>
          <w:p>
            <w:pPr>
              <w:jc w:val="both"/>
            </w:pPr>
            <w:r>
              <w:rPr>
                <w:b/>
                <w:sz w:val="24"/>
              </w:rPr>
              <w:t>二、设计原则与技术路线</w:t>
            </w:r>
          </w:p>
          <w:p>
            <w:pPr>
              <w:jc w:val="left"/>
            </w:pPr>
            <w:r>
              <w:rPr>
                <w:b/>
                <w:sz w:val="24"/>
              </w:rPr>
              <w:t>（一）设计原则</w:t>
            </w:r>
          </w:p>
          <w:p>
            <w:pPr>
              <w:jc w:val="left"/>
            </w:pPr>
            <w:r>
              <w:rPr>
                <w:b/>
                <w:sz w:val="24"/>
              </w:rPr>
              <w:t>1.先进性原则</w:t>
            </w:r>
          </w:p>
          <w:p>
            <w:pPr>
              <w:ind w:firstLine="480"/>
            </w:pPr>
            <w:r>
              <w:rPr>
                <w:color w:val="000000"/>
                <w:sz w:val="24"/>
              </w:rPr>
              <w:t>采用先进的技术，满足业务发展需要，结合项目相关要求，把科学的管理理念和先进的技术手段紧密结合起来；应运用先进成熟的技术手段，符合未来发展趋势，确保主要系统具有较强的生命力，有长期的使用价值。</w:t>
            </w:r>
          </w:p>
          <w:p>
            <w:pPr>
              <w:jc w:val="left"/>
            </w:pPr>
            <w:r>
              <w:rPr>
                <w:b/>
                <w:sz w:val="24"/>
              </w:rPr>
              <w:t>2.扩展性原则</w:t>
            </w:r>
          </w:p>
          <w:p>
            <w:pPr>
              <w:ind w:firstLine="480"/>
            </w:pPr>
            <w:r>
              <w:rPr>
                <w:color w:val="000000"/>
                <w:sz w:val="24"/>
              </w:rPr>
              <w:t>本项目主要建设内容是循序渐进、不断扩充、逐步完善的过程，采用积木式结构、组件化设计等建设思路。降低各模块的耦合度，充分考虑兼容性，对多种格式数据建库。整体上要考虑系统内外的无缝连接，为今后系统扩展和集成留有扩充余量。</w:t>
            </w:r>
          </w:p>
          <w:p>
            <w:pPr>
              <w:jc w:val="left"/>
            </w:pPr>
            <w:r>
              <w:rPr>
                <w:b/>
                <w:sz w:val="24"/>
              </w:rPr>
              <w:t>3.共享性原则</w:t>
            </w:r>
          </w:p>
          <w:p>
            <w:pPr>
              <w:ind w:firstLine="480"/>
            </w:pPr>
            <w:r>
              <w:rPr>
                <w:color w:val="000000"/>
                <w:sz w:val="24"/>
              </w:rPr>
              <w:t>要在整合和保护原有的信息化投资和环境基础上，提高数据资源的共享，力求在信息资源的开发利用上有所突破。</w:t>
            </w:r>
          </w:p>
          <w:p>
            <w:pPr>
              <w:jc w:val="left"/>
            </w:pPr>
            <w:r>
              <w:rPr>
                <w:b/>
                <w:sz w:val="24"/>
              </w:rPr>
              <w:t>4.继承性原则</w:t>
            </w:r>
          </w:p>
          <w:p>
            <w:pPr>
              <w:ind w:firstLine="480"/>
            </w:pPr>
            <w:r>
              <w:rPr>
                <w:color w:val="000000"/>
                <w:sz w:val="24"/>
              </w:rPr>
              <w:t>充分利用已有的明珠湾智慧城市信息平台成果，集成融合已有的基础测绘、业务专题等数据，充分利用已有的信息化基础平台、专业应用的成果，以及充分利用已有的基础软硬件资源，集约化构建时空大数据平台的数据治理工作。</w:t>
            </w:r>
          </w:p>
          <w:p>
            <w:pPr>
              <w:jc w:val="left"/>
            </w:pPr>
            <w:r>
              <w:rPr>
                <w:b/>
                <w:sz w:val="24"/>
              </w:rPr>
              <w:t>5.安全可控原则</w:t>
            </w:r>
          </w:p>
          <w:p>
            <w:pPr>
              <w:jc w:val="both"/>
            </w:pPr>
            <w:r>
              <w:rPr>
                <w:sz w:val="24"/>
              </w:rPr>
              <w:t>严格执行信息系统等级保护和分级保护制度，形成自主可控的信息安全体系，提升信息安全防护能力，完善信息安全管理运维体系，妥善处理信息共享与信息安全的关系，保障数据传输、存储、应用和信息系统的安全。对数据共享，应严格遵循国家安全保密有关规定。</w:t>
            </w:r>
          </w:p>
        </w:tc>
      </w:tr>
      <w:tr>
        <w:tc>
          <w:tcPr>
            <w:tcW w:type="dxa" w:w="2076"/>
          </w:tcPr>
          <w:p>
            <w:r>
              <w:rPr/>
              <w:t>★</w:t>
            </w:r>
          </w:p>
        </w:tc>
        <w:tc>
          <w:tcPr>
            <w:tcW w:type="dxa" w:w="415"/>
          </w:tcPr>
          <w:p>
            <w:r>
              <w:rPr/>
              <w:t>8</w:t>
            </w:r>
          </w:p>
        </w:tc>
        <w:tc>
          <w:tcPr>
            <w:tcW w:type="dxa" w:w="5814"/>
          </w:tcPr>
          <w:p>
            <w:pPr>
              <w:ind w:firstLine="482"/>
              <w:jc w:val="both"/>
            </w:pPr>
            <w:r>
              <w:rPr>
                <w:b/>
                <w:sz w:val="24"/>
              </w:rPr>
              <w:t>投标人承诺（提供承诺函）中标后数据治理工作需要采取多方面措施，保证保密性需要：</w:t>
            </w:r>
          </w:p>
          <w:p>
            <w:pPr>
              <w:ind w:firstLine="482"/>
              <w:jc w:val="both"/>
            </w:pPr>
            <w:r>
              <w:rPr>
                <w:b/>
                <w:sz w:val="24"/>
              </w:rPr>
              <w:t>1</w:t>
            </w:r>
            <w:r>
              <w:rPr>
                <w:b/>
                <w:sz w:val="24"/>
              </w:rPr>
              <w:t>）</w:t>
            </w:r>
            <w:r>
              <w:rPr>
                <w:b/>
                <w:sz w:val="24"/>
              </w:rPr>
              <w:t>采取的保障措施，需满足法律、法规和各级部门规定的相关要求。</w:t>
            </w:r>
          </w:p>
          <w:p>
            <w:pPr>
              <w:ind w:firstLine="482"/>
              <w:jc w:val="both"/>
            </w:pPr>
            <w:r>
              <w:rPr>
                <w:b/>
                <w:sz w:val="24"/>
              </w:rPr>
              <w:t>2</w:t>
            </w:r>
            <w:r>
              <w:rPr>
                <w:b/>
                <w:sz w:val="24"/>
              </w:rPr>
              <w:t>）</w:t>
            </w:r>
            <w:r>
              <w:rPr>
                <w:b/>
                <w:sz w:val="24"/>
              </w:rPr>
              <w:t>治理服务、治理系统设计应把安全性放在首位，既要考虑信息资源的充分共享，也要考虑信息的保护和隔离，保证系统的安全性。</w:t>
            </w:r>
          </w:p>
          <w:p>
            <w:pPr>
              <w:ind w:firstLine="482"/>
              <w:jc w:val="both"/>
            </w:pPr>
            <w:r>
              <w:rPr>
                <w:b/>
                <w:sz w:val="24"/>
              </w:rPr>
              <w:t>3</w:t>
            </w:r>
            <w:r>
              <w:rPr>
                <w:b/>
                <w:sz w:val="24"/>
              </w:rPr>
              <w:t>）</w:t>
            </w:r>
            <w:r>
              <w:rPr>
                <w:b/>
                <w:sz w:val="24"/>
              </w:rPr>
              <w:t>保密的制度设计</w:t>
            </w:r>
          </w:p>
          <w:p>
            <w:pPr>
              <w:ind w:firstLine="482"/>
              <w:jc w:val="both"/>
            </w:pPr>
            <w:r>
              <w:rPr>
                <w:b/>
                <w:sz w:val="24"/>
              </w:rPr>
              <w:t>建立切实有效的保密规章制度，并把制度落实在数据治理的全流程全环节。各级组织严格履行安全保密职责，签订保密协议，按照安全保密规定开展工作。</w:t>
            </w:r>
          </w:p>
          <w:p>
            <w:pPr>
              <w:ind w:firstLine="482"/>
              <w:jc w:val="both"/>
            </w:pPr>
            <w:r>
              <w:rPr>
                <w:b/>
                <w:sz w:val="24"/>
              </w:rPr>
              <w:t>4</w:t>
            </w:r>
            <w:r>
              <w:rPr>
                <w:b/>
                <w:sz w:val="24"/>
              </w:rPr>
              <w:t>）</w:t>
            </w:r>
            <w:r>
              <w:rPr>
                <w:b/>
                <w:sz w:val="24"/>
              </w:rPr>
              <w:t>保密测评与核查</w:t>
            </w:r>
          </w:p>
          <w:p>
            <w:pPr>
              <w:ind w:firstLine="482"/>
              <w:jc w:val="both"/>
            </w:pPr>
            <w:r>
              <w:rPr>
                <w:b/>
                <w:sz w:val="24"/>
              </w:rPr>
              <w:t>建立保密工作定期及不定期核查机制，及时发现隐患，及时采取应对措施。</w:t>
            </w:r>
          </w:p>
          <w:p>
            <w:pPr>
              <w:ind w:firstLine="482"/>
              <w:jc w:val="both"/>
            </w:pPr>
            <w:r>
              <w:rPr>
                <w:b/>
                <w:sz w:val="24"/>
              </w:rPr>
              <w:t>5</w:t>
            </w:r>
            <w:r>
              <w:rPr>
                <w:b/>
                <w:sz w:val="24"/>
              </w:rPr>
              <w:t>）</w:t>
            </w:r>
            <w:r>
              <w:rPr>
                <w:b/>
                <w:sz w:val="24"/>
              </w:rPr>
              <w:t>保密的技术措施</w:t>
            </w:r>
          </w:p>
          <w:p>
            <w:pPr>
              <w:ind w:firstLine="482"/>
              <w:jc w:val="both"/>
            </w:pPr>
            <w:r>
              <w:rPr>
                <w:b/>
                <w:sz w:val="24"/>
              </w:rPr>
              <w:t>采用先进的安全保密技术措施，助力保密工作。</w:t>
            </w:r>
          </w:p>
          <w:p>
            <w:pPr>
              <w:ind w:firstLine="482"/>
              <w:jc w:val="both"/>
            </w:pPr>
            <w:r>
              <w:rPr>
                <w:b/>
                <w:sz w:val="24"/>
              </w:rPr>
              <w:t>用户身份认证：全环节实行身份认证，对系统的登录、流转、使用等功能操作贯彻身份认证和鉴权机制。日志管理：应具备完善的日志管理功能，能够追踪记录每次操作情况，并对非法操作进行告警。</w:t>
            </w:r>
          </w:p>
          <w:p>
            <w:pPr>
              <w:jc w:val="both"/>
            </w:pPr>
            <w:r>
              <w:rPr>
                <w:b/>
                <w:sz w:val="24"/>
              </w:rPr>
              <w:t>数据加密技术：数据加密技术是指将一个信息经过加密钥匙及加密函数转换，变成无意义的密文，而接收方则将此密文经过解密函数、解密钥匙还原成明文。加密技术通信双方按约定的法则进行信息特殊变换的一种保密技术，根据特定的法则，变明文为密文。从明文变成密文的过程称为加密；由密文恢复出原明文的过程，称为解密。密码在早期仅对文字或数码进行加、解密，随着通信技术的发展，对语音、</w:t>
            </w:r>
            <w:r>
              <w:rPr>
                <w:b/>
                <w:sz w:val="24"/>
              </w:rPr>
              <w:t>图像、数据等都可实施加、解密变换。</w:t>
            </w:r>
          </w:p>
        </w:tc>
      </w:tr>
      <w:tr>
        <w:tc>
          <w:tcPr>
            <w:tcW w:type="dxa" w:w="2076"/>
          </w:tcPr>
          <w:p/>
        </w:tc>
        <w:tc>
          <w:tcPr>
            <w:tcW w:type="dxa" w:w="415"/>
          </w:tcPr>
          <w:p>
            <w:r>
              <w:rPr/>
              <w:t>9</w:t>
            </w:r>
          </w:p>
        </w:tc>
        <w:tc>
          <w:tcPr>
            <w:tcW w:type="dxa" w:w="5814"/>
          </w:tcPr>
          <w:p>
            <w:pPr>
              <w:jc w:val="left"/>
            </w:pPr>
            <w:r>
              <w:rPr>
                <w:b/>
                <w:sz w:val="24"/>
              </w:rPr>
              <w:t>6.智能化原则</w:t>
            </w:r>
          </w:p>
          <w:p>
            <w:pPr>
              <w:ind w:firstLine="480"/>
            </w:pPr>
            <w:r>
              <w:rPr>
                <w:sz w:val="24"/>
              </w:rPr>
              <w:t>依托明珠湾智慧城市信息平台将数据服务、功能服务等进行融合，逐步形成可共享的资源池，按需提供相应的数据共享服务，在服务的过程中，具备统计和学习能力；应逐步建立丰富的资源特征库和需求知识库，应具有一定的自然语言描述理解能力，可以自定义业务流程，为用户提供更为智能的服务支持。</w:t>
            </w:r>
          </w:p>
          <w:p>
            <w:pPr>
              <w:jc w:val="left"/>
            </w:pPr>
            <w:r>
              <w:rPr>
                <w:b/>
                <w:sz w:val="24"/>
              </w:rPr>
              <w:t>（二）技术路线</w:t>
            </w:r>
          </w:p>
          <w:p>
            <w:pPr>
              <w:ind w:firstLine="480"/>
            </w:pPr>
            <w:r>
              <w:rPr>
                <w:color w:val="000000"/>
                <w:sz w:val="24"/>
              </w:rPr>
              <w:t>总体上采用</w:t>
            </w:r>
            <w:r>
              <w:rPr>
                <w:color w:val="000000"/>
                <w:sz w:val="24"/>
              </w:rPr>
              <w:t>“采治融用”技术路线，实现“原始库（接入库）-融合库（主题库）-共享库”的逐级构建，逐步实现“采集-建库-管理”一体化。</w:t>
            </w:r>
          </w:p>
          <w:p>
            <w:pPr>
              <w:ind w:firstLine="482"/>
            </w:pPr>
            <w:r>
              <w:rPr>
                <w:b/>
                <w:color w:val="000000"/>
                <w:sz w:val="24"/>
              </w:rPr>
              <w:t>采：即</w:t>
            </w:r>
            <w:r>
              <w:rPr>
                <w:b/>
                <w:color w:val="000000"/>
                <w:sz w:val="24"/>
              </w:rPr>
              <w:t>“数据采集”。</w:t>
            </w:r>
            <w:r>
              <w:rPr>
                <w:color w:val="000000"/>
                <w:sz w:val="24"/>
              </w:rPr>
              <w:t>针对多源、异构、标准不一的原始数据，依据数据治理评估阶段掌握的数据基本信息和来源信息，按照数据汇交、更新、共享等标准规范，灵活采用数据离线汇交、整理建库、</w:t>
            </w:r>
            <w:r>
              <w:rPr>
                <w:color w:val="000000"/>
                <w:sz w:val="24"/>
              </w:rPr>
              <w:t>ETL抽取整合、数据库连接注册、数据服务集成、数据共享交换、网路爬取等多种方式实现多源数据“物理分布、逻辑集中”。</w:t>
            </w:r>
          </w:p>
          <w:p>
            <w:pPr>
              <w:ind w:firstLine="482"/>
            </w:pPr>
            <w:r>
              <w:rPr>
                <w:b/>
                <w:color w:val="000000"/>
                <w:sz w:val="24"/>
              </w:rPr>
              <w:t>治：即</w:t>
            </w:r>
            <w:r>
              <w:rPr>
                <w:b/>
                <w:color w:val="000000"/>
                <w:sz w:val="24"/>
              </w:rPr>
              <w:t>“数据治理”。</w:t>
            </w:r>
            <w:r>
              <w:rPr>
                <w:color w:val="000000"/>
                <w:sz w:val="24"/>
              </w:rPr>
              <w:t>对照数据治理管理办法，对汇聚过来的数据进行治理，包括统一数据版本、统一时空基准、统一数据格式、统一图文一致性、统一逻辑一致性等。以数据治理标准规范体系中的数据逻辑模型为标准，抛弃不合理的数据结构、增加必要的新的数据结构，然后组织数据加载、更新，建立新的数据存储。对于增量数据按照新的数据模型和质量标准进行数据标准化处理。</w:t>
            </w:r>
          </w:p>
          <w:p>
            <w:pPr>
              <w:ind w:firstLine="482"/>
            </w:pPr>
            <w:r>
              <w:rPr>
                <w:b/>
                <w:color w:val="000000"/>
                <w:sz w:val="24"/>
              </w:rPr>
              <w:t>融：即</w:t>
            </w:r>
            <w:r>
              <w:rPr>
                <w:b/>
                <w:color w:val="000000"/>
                <w:sz w:val="24"/>
              </w:rPr>
              <w:t>“数据融合”。</w:t>
            </w:r>
            <w:r>
              <w:rPr>
                <w:color w:val="000000"/>
                <w:sz w:val="24"/>
              </w:rPr>
              <w:t>主要是针对同一类数据有多种来源的情况进行数据融合。数据融合基于标准化后的数据，按照</w:t>
            </w:r>
            <w:r>
              <w:rPr>
                <w:color w:val="000000"/>
                <w:sz w:val="24"/>
              </w:rPr>
              <w:t>“时效更新、内容更全、覆盖更广、分辨率更高、权威性更强”的原则，进行数据融合。通过数据融合实现满足“一数一源”的基础库建设。</w:t>
            </w:r>
          </w:p>
          <w:p>
            <w:pPr>
              <w:ind w:firstLine="482"/>
            </w:pPr>
            <w:r>
              <w:rPr>
                <w:b/>
                <w:color w:val="000000"/>
                <w:sz w:val="24"/>
              </w:rPr>
              <w:t>用：即</w:t>
            </w:r>
            <w:r>
              <w:rPr>
                <w:b/>
                <w:color w:val="000000"/>
                <w:sz w:val="24"/>
              </w:rPr>
              <w:t>“数据应用”。</w:t>
            </w:r>
            <w:r>
              <w:rPr>
                <w:color w:val="000000"/>
                <w:sz w:val="24"/>
              </w:rPr>
              <w:t>主要是面向应用，完成实体化和指标化建库。通过对关键业务实体类数据进行实体化，构建全空间一体化的实体库。以实体数据为核心，可以有效的实现各类数据的互联互通，以及对实体的历史变化进行记录和追踪，支撑面向主题场景的业务应用。将基础库和指标库中的数据进行服务发布，通过调用发布的数据服务</w:t>
            </w:r>
            <w:r>
              <w:rPr>
                <w:color w:val="000000"/>
                <w:sz w:val="24"/>
              </w:rPr>
              <w:t>API，实现对数据的应用。</w:t>
            </w:r>
          </w:p>
          <w:p>
            <w:pPr>
              <w:jc w:val="left"/>
            </w:pPr>
            <w:r>
              <w:rPr>
                <w:b/>
                <w:sz w:val="24"/>
              </w:rPr>
              <w:t>1.基于“采治融用”的体系，治理城市数据</w:t>
            </w:r>
          </w:p>
          <w:p>
            <w:pPr>
              <w:ind w:firstLine="480"/>
            </w:pPr>
            <w:r>
              <w:rPr>
                <w:color w:val="000000"/>
                <w:sz w:val="24"/>
              </w:rPr>
              <w:t>平台创新性的将</w:t>
            </w:r>
            <w:r>
              <w:rPr>
                <w:color w:val="000000"/>
                <w:sz w:val="24"/>
              </w:rPr>
              <w:t>DIKW（数据、信息、知识、智慧的金字塔层次体系）同空间信息的认知与决策体系相结合，构建了实体库、指标库、知识库、模型库四库进阶的新一代空间信息数据体系。通过构建多源（元）数据融合的实体库，攻克了新型基础测绘落地应用和城市基础数据动态更新难题。结合指标模型管理工具和规则引擎，建立了城市指标库，大幅增强了平台的城市体征认知能力，实现了城市运行规律数字化，形成知识库，大幅增强了平台的智能化程度，构建了城市模型库，实现了城市核心问题处理经验数字化，大幅增强了平台的预测决策能力。</w:t>
            </w:r>
          </w:p>
          <w:p>
            <w:pPr>
              <w:jc w:val="center"/>
            </w:pPr>
            <w:r>
              <w:drawing>
                <wp:inline distT="0" distR="0" distB="0" distL="0">
                  <wp:extent cx="3554729" cy="260985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609850"/>
                          </a:xfrm>
                          <a:prstGeom prst="rect">
                            <a:avLst/>
                          </a:prstGeom>
                        </pic:spPr>
                      </pic:pic>
                    </a:graphicData>
                  </a:graphic>
                </wp:inline>
              </w:drawing>
            </w:r>
          </w:p>
          <w:p>
            <w:pPr>
              <w:jc w:val="center"/>
            </w:pPr>
            <w:r>
              <w:rPr>
                <w:sz w:val="24"/>
              </w:rPr>
              <w:t>图</w:t>
            </w:r>
            <w:r>
              <w:rPr>
                <w:sz w:val="24"/>
              </w:rPr>
              <w:t>2?</w:t>
            </w:r>
            <w:r>
              <w:rPr>
                <w:sz w:val="24"/>
              </w:rPr>
              <w:t>1</w:t>
            </w:r>
            <w:r>
              <w:rPr>
                <w:sz w:val="24"/>
              </w:rPr>
              <w:t>基于四库的</w:t>
            </w:r>
            <w:r>
              <w:rPr>
                <w:sz w:val="24"/>
              </w:rPr>
              <w:t>“DIKW”模型</w:t>
            </w:r>
          </w:p>
          <w:p>
            <w:pPr>
              <w:ind w:firstLine="480"/>
            </w:pPr>
            <w:r>
              <w:rPr>
                <w:color w:val="000000"/>
                <w:sz w:val="24"/>
              </w:rPr>
              <w:t>时空大数据平台的</w:t>
            </w:r>
            <w:r>
              <w:rPr>
                <w:color w:val="000000"/>
                <w:sz w:val="24"/>
              </w:rPr>
              <w:t>“DIKW”模型最终形成实体、指标、知识和模型四个库，形成全空间、多层级的时空大数据体系，实现基础数据实体化、战略数据指征化、运行规律可视化、认知推理智能化，更深入的挖掘平台数据的价值，为纵向跨层级、横向跨部门应用提供灵活、高效的服务支撑，减轻应用系统开发的难度，提升应用开发效率与应用智能化水平。</w:t>
            </w:r>
          </w:p>
          <w:p>
            <w:pPr>
              <w:jc w:val="left"/>
            </w:pPr>
            <w:r>
              <w:rPr>
                <w:b/>
                <w:sz w:val="24"/>
              </w:rPr>
              <w:t>2.基于地理实体，融合治理多源时空大数据</w:t>
            </w:r>
          </w:p>
          <w:p>
            <w:pPr>
              <w:ind w:firstLine="480"/>
            </w:pPr>
            <w:r>
              <w:rPr>
                <w:color w:val="000000"/>
                <w:sz w:val="24"/>
              </w:rPr>
              <w:t>基于地理实体融合治理政务公共专题、物联网感知等多源时空大数据，通过建立地理实体的唯一编码、关联与其相关的业务数据，通过构建地理实体</w:t>
            </w:r>
            <w:r>
              <w:rPr>
                <w:color w:val="000000"/>
                <w:sz w:val="24"/>
              </w:rPr>
              <w:t>API，形成基于时空的城市信息一体化的服务，解决智慧城市建设过程中数据分散、信息孤岛等应用难题，为跨部门的协同应用提供保障。</w:t>
            </w:r>
          </w:p>
          <w:p>
            <w:pPr>
              <w:jc w:val="left"/>
            </w:pPr>
            <w:r>
              <w:rPr>
                <w:b/>
                <w:sz w:val="24"/>
              </w:rPr>
              <w:t>3.利用数字孪生理念，打造新型智慧城市建设管理新模式</w:t>
            </w:r>
          </w:p>
          <w:p>
            <w:pPr>
              <w:ind w:firstLine="480"/>
            </w:pPr>
            <w:r>
              <w:rPr>
                <w:color w:val="000000"/>
                <w:sz w:val="24"/>
              </w:rPr>
              <w:t>数字孪生（</w:t>
            </w:r>
            <w:r>
              <w:rPr>
                <w:color w:val="000000"/>
                <w:sz w:val="24"/>
              </w:rPr>
              <w:t>DigitalTwin）是一种城市物理空间与虚拟空间的虚实交融、智能操控的映射关系，通过实体世界，以及数字虚拟空间中的记录、仿真、预测城市全生命周期的运行轨迹，实现系统内的信息资源、物资资源的最优化配置。简单来说，就是在网络空间再造一个与实体城市匹配、对应的数字孪生城市，形成物理维度上的实体城市和信息维度上的虚拟城市共生共存、虚实交融的城市发展格局。</w:t>
            </w:r>
          </w:p>
          <w:p>
            <w:pPr>
              <w:ind w:firstLine="480"/>
            </w:pPr>
            <w:r>
              <w:rPr>
                <w:color w:val="000000"/>
                <w:sz w:val="24"/>
              </w:rPr>
              <w:t>数字孪生理念在国内外众多城市中得到较好的应用，尤其是在区域级城市中具有更好的运用效果。比如新加坡</w:t>
            </w:r>
            <w:r>
              <w:rPr>
                <w:color w:val="000000"/>
                <w:sz w:val="24"/>
              </w:rPr>
              <w:t>“智慧国”，雄安新区、北京城市副中心、深圳前海都具有较好的应用。</w:t>
            </w:r>
          </w:p>
          <w:p>
            <w:pPr>
              <w:ind w:firstLine="480"/>
            </w:pPr>
            <w:r>
              <w:rPr>
                <w:color w:val="000000"/>
                <w:sz w:val="24"/>
              </w:rPr>
              <w:t>城市数字孪生理念根据建筑信息模型能贯穿城市工程规划、设计、施工建设和运行维护全生命周期的特点，通过</w:t>
            </w:r>
            <w:r>
              <w:rPr>
                <w:color w:val="000000"/>
                <w:sz w:val="24"/>
              </w:rPr>
              <w:t>BIM（建筑信息化模型）+GIS（地理信息系统）的有效融合，实现城市单个个体到城市群体的城市建筑信息模型，并在城市信息数据基础上开展规划设计、建筑工程建造、市政工程（地下管廊、轨道交通、水利水电、城市道路等）建造、地理地质信息数据的更新维护等功能，该理念既满足了城市精细化管理的实际需求，又满足了国内新型智慧城市和城市规划建设中要求的“一张蓝图干到底”的国家宏观政策，打造了新型智慧城市建设管理新模式。</w:t>
            </w:r>
          </w:p>
          <w:p>
            <w:pPr>
              <w:ind w:firstLine="480"/>
            </w:pPr>
            <w:r>
              <w:rPr>
                <w:color w:val="000000"/>
                <w:sz w:val="24"/>
              </w:rPr>
              <w:t>数字孪生城市的建设途径在白地型（绿地型）新建城市和已建城市具有不同的建设路径。明珠湾起步区属于白地型新建城市，完整的孪生数字城市建设路径如下：</w:t>
            </w:r>
          </w:p>
          <w:p>
            <w:pPr>
              <w:ind w:firstLine="480"/>
            </w:pPr>
            <w:r>
              <w:rPr>
                <w:sz w:val="24"/>
              </w:rPr>
              <w:t>首先，在实体城市建设过程中，同步部署天、空、地一体的物联网感知设施、物联网（传感网）、通信网（宽带、移动和无线）及承载平台等，实现城市的数字化。其次，充分利用</w:t>
            </w:r>
            <w:r>
              <w:rPr>
                <w:sz w:val="24"/>
              </w:rPr>
              <w:t>BIM</w:t>
            </w:r>
            <w:r>
              <w:rPr>
                <w:sz w:val="24"/>
              </w:rPr>
              <w:t>(</w:t>
            </w:r>
            <w:r>
              <w:rPr>
                <w:sz w:val="24"/>
              </w:rPr>
              <w:t>建筑信息化模型</w:t>
            </w:r>
            <w:r>
              <w:rPr>
                <w:sz w:val="24"/>
              </w:rPr>
              <w:t>)和3DGIS（三维地理信息系统）、云计算、大数据、物联网和智能化等先进信息技术，构建统一的城市信息模型，实现城市可视化建模，并贯穿规划、建设与管理的全过程、全要素、全方位的实现数字化、在线化和智能化。最后，结合城市特点及发展需求，逐步实现在重点领域应用的率先突破，支持新城新区的生长模拟与各种预案优化，支持相关政策决策的人口空间分析、公共设施布局、土地利用变化、基础设施建设、城市治理服务等的分析，通过与实体城市之间的虚实互动，演绎城市未来的发展。</w:t>
            </w:r>
          </w:p>
          <w:p>
            <w:pPr>
              <w:jc w:val="left"/>
            </w:pPr>
            <w:r>
              <w:rPr>
                <w:b/>
                <w:sz w:val="24"/>
              </w:rPr>
              <w:t>三、技术力量、人员配置及服务要求</w:t>
            </w:r>
          </w:p>
          <w:p>
            <w:pPr>
              <w:jc w:val="both"/>
            </w:pPr>
            <w:r>
              <w:rPr>
                <w:sz w:val="24"/>
              </w:rPr>
              <w:t>本项目是一项复杂的、比较大型的服务型系统工程，不仅涉及到技术实现的方法和手段，而且涉及到项目服务期间各种资源的管理与调配。为了能有效地进行资源控制、进度控制和质量控制，确保项目顺利实施，必须建立职责明确、决策有效、执行有力的项目组织机构，从组织管理方面对项目实施严格、规范和有效的控制。并且要最佳地将项目承担方、项目服务方、技术人员有机地结合到项目的服务中，规范项目过程，保证服务质量，达到预定目标。</w:t>
            </w:r>
          </w:p>
        </w:tc>
      </w:tr>
      <w:tr>
        <w:tc>
          <w:tcPr>
            <w:tcW w:type="dxa" w:w="2076"/>
          </w:tcPr>
          <w:p>
            <w:r>
              <w:rPr/>
              <w:t>★</w:t>
            </w:r>
          </w:p>
        </w:tc>
        <w:tc>
          <w:tcPr>
            <w:tcW w:type="dxa" w:w="415"/>
          </w:tcPr>
          <w:p>
            <w:r>
              <w:rPr/>
              <w:t>10</w:t>
            </w:r>
          </w:p>
        </w:tc>
        <w:tc>
          <w:tcPr>
            <w:tcW w:type="dxa" w:w="5814"/>
          </w:tcPr>
          <w:p>
            <w:pPr>
              <w:ind w:firstLine="482"/>
            </w:pPr>
          </w:p>
          <w:p>
            <w:pPr>
              <w:ind w:firstLine="482"/>
            </w:pPr>
            <w:r>
              <w:rPr>
                <w:b/>
                <w:color w:val="000000"/>
                <w:sz w:val="24"/>
              </w:rPr>
              <w:t>投标人承诺</w:t>
            </w:r>
            <w:r>
              <w:rPr>
                <w:b/>
                <w:color w:val="000000"/>
                <w:sz w:val="24"/>
              </w:rPr>
              <w:t>（提供承诺函）</w:t>
            </w:r>
            <w:r>
              <w:rPr>
                <w:b/>
                <w:color w:val="000000"/>
                <w:sz w:val="24"/>
              </w:rPr>
              <w:t>中标后成立本项目的建设领导小组，成立项目领导小组来负责项目实施统筹工作。</w:t>
            </w:r>
          </w:p>
          <w:p>
            <w:pPr>
              <w:jc w:val="both"/>
            </w:pPr>
            <w:r>
              <w:rPr>
                <w:b/>
                <w:sz w:val="24"/>
              </w:rPr>
              <w:t>（一）服务人员配置</w:t>
            </w:r>
          </w:p>
          <w:p>
            <w:pPr>
              <w:ind w:firstLine="480"/>
              <w:jc w:val="both"/>
            </w:pPr>
            <w:r>
              <w:rPr>
                <w:sz w:val="24"/>
              </w:rPr>
              <w:t>广州市南沙新区明珠湾起步区智慧城市数据治理服务项目人力资源组织与分工原则确定和规范本服务管理体制和外包风险管理体制，以及与之相配套的机构设置、人员岗责安排，对服务工作相关的全部活动进行统一决策与规划，形成集中统一服务管理体制。在集中统一的管理模式下，按照服务管理任务科学设置或调整组织机构，划分任务、角色、职责，合理配置服务管理资源，达到人、工具、流程的有机融合。</w:t>
            </w:r>
          </w:p>
          <w:p>
            <w:pPr>
              <w:ind w:firstLine="480"/>
              <w:jc w:val="both"/>
            </w:pPr>
            <w:r>
              <w:rPr>
                <w:sz w:val="24"/>
              </w:rPr>
              <w:t>本项目须配置相关专业人员。具体如下：</w:t>
            </w:r>
          </w:p>
          <w:p>
            <w:pPr>
              <w:jc w:val="center"/>
            </w:pPr>
            <w:r>
              <w:rPr>
                <w:sz w:val="24"/>
              </w:rPr>
              <w:t>表</w:t>
            </w:r>
            <w:r>
              <w:rPr>
                <w:sz w:val="24"/>
              </w:rPr>
              <w:t>3?</w:t>
            </w:r>
            <w:r>
              <w:rPr>
                <w:sz w:val="24"/>
              </w:rPr>
              <w:t>1</w:t>
            </w:r>
            <w:r>
              <w:rPr>
                <w:sz w:val="24"/>
              </w:rPr>
              <w:t xml:space="preserve"> </w:t>
            </w:r>
            <w:r>
              <w:rPr>
                <w:sz w:val="24"/>
              </w:rPr>
              <w:t>技术力量和人员配置表</w:t>
            </w:r>
          </w:p>
          <w:tbl>
            <w:tblPr>
              <w:tblBorders>
                <w:top w:val="none" w:color="000000" w:sz="4"/>
                <w:left w:val="none" w:color="000000" w:sz="4"/>
                <w:bottom w:val="none" w:color="000000" w:sz="4"/>
                <w:right w:val="none" w:color="000000" w:sz="4"/>
                <w:insideH w:val="none"/>
                <w:insideV w:val="none"/>
              </w:tblBorders>
            </w:tblPr>
            <w:tblGrid>
              <w:gridCol w:w="274"/>
              <w:gridCol w:w="373"/>
              <w:gridCol w:w="395"/>
              <w:gridCol w:w="483"/>
              <w:gridCol w:w="1286"/>
              <w:gridCol w:w="1847"/>
              <w:gridCol w:w="450"/>
              <w:gridCol w:w="450"/>
            </w:tblGrid>
            <w:tr>
              <w:tc>
                <w:tcPr>
                  <w:tcW w:type="dxa" w:w="274"/>
                  <w:tcBorders>
                    <w:top w:val="single" w:color="000000" w:sz="4"/>
                    <w:left w:val="single" w:color="000000" w:sz="4"/>
                    <w:bottom w:val="single" w:color="000000" w:sz="4"/>
                    <w:right w:val="single" w:color="000000" w:sz="4"/>
                  </w:tcBorders>
                  <w:shd w:fill="BFBFBF"/>
                  <w:vAlign w:val="top"/>
                </w:tcPr>
                <w:p>
                  <w:pPr>
                    <w:jc w:val="center"/>
                  </w:pPr>
                  <w:r>
                    <w:rPr>
                      <w:color w:val="000000"/>
                      <w:sz w:val="24"/>
                    </w:rPr>
                    <w:t>序号</w:t>
                  </w:r>
                </w:p>
              </w:tc>
              <w:tc>
                <w:tcPr>
                  <w:tcW w:type="dxa" w:w="373"/>
                  <w:tcBorders>
                    <w:top w:val="single" w:color="000000" w:sz="4"/>
                    <w:left w:val="none" w:color="000000" w:sz="4"/>
                    <w:bottom w:val="single" w:color="000000" w:sz="4"/>
                    <w:right w:val="single" w:color="000000" w:sz="4"/>
                  </w:tcBorders>
                  <w:shd w:fill="BFBFBF"/>
                  <w:vAlign w:val="top"/>
                </w:tcPr>
                <w:p>
                  <w:pPr>
                    <w:jc w:val="center"/>
                  </w:pPr>
                  <w:r>
                    <w:rPr>
                      <w:color w:val="000000"/>
                      <w:sz w:val="24"/>
                    </w:rPr>
                    <w:t>子项目</w:t>
                  </w:r>
                </w:p>
              </w:tc>
              <w:tc>
                <w:tcPr>
                  <w:tcW w:type="dxa" w:w="395"/>
                  <w:tcBorders>
                    <w:top w:val="single" w:color="000000" w:sz="4"/>
                    <w:left w:val="none" w:color="000000" w:sz="4"/>
                    <w:bottom w:val="single" w:color="000000" w:sz="4"/>
                    <w:right w:val="single" w:color="000000" w:sz="4"/>
                  </w:tcBorders>
                  <w:shd w:fill="BFBFBF"/>
                  <w:vAlign w:val="top"/>
                </w:tcPr>
                <w:p>
                  <w:pPr>
                    <w:jc w:val="center"/>
                  </w:pPr>
                  <w:r>
                    <w:rPr>
                      <w:color w:val="000000"/>
                      <w:sz w:val="24"/>
                    </w:rPr>
                    <w:t>项目阶段</w:t>
                  </w:r>
                </w:p>
              </w:tc>
              <w:tc>
                <w:tcPr>
                  <w:tcW w:type="dxa" w:w="483"/>
                  <w:tcBorders>
                    <w:top w:val="single" w:color="000000" w:sz="4"/>
                    <w:left w:val="none" w:color="000000" w:sz="4"/>
                    <w:bottom w:val="single" w:color="000000" w:sz="4"/>
                    <w:right w:val="single" w:color="000000" w:sz="4"/>
                  </w:tcBorders>
                  <w:shd w:fill="BFBFBF"/>
                  <w:vAlign w:val="top"/>
                </w:tcPr>
                <w:p>
                  <w:pPr>
                    <w:jc w:val="center"/>
                  </w:pPr>
                  <w:r>
                    <w:rPr>
                      <w:color w:val="000000"/>
                      <w:sz w:val="24"/>
                    </w:rPr>
                    <w:t>岗位角色</w:t>
                  </w:r>
                </w:p>
              </w:tc>
              <w:tc>
                <w:tcPr>
                  <w:tcW w:type="dxa" w:w="1286"/>
                  <w:tcBorders>
                    <w:top w:val="single" w:color="000000" w:sz="4"/>
                    <w:left w:val="none" w:color="000000" w:sz="4"/>
                    <w:bottom w:val="single" w:color="000000" w:sz="4"/>
                    <w:right w:val="single" w:color="000000" w:sz="4"/>
                  </w:tcBorders>
                  <w:shd w:fill="BFBFBF"/>
                  <w:vAlign w:val="top"/>
                </w:tcPr>
                <w:p>
                  <w:pPr>
                    <w:jc w:val="center"/>
                  </w:pPr>
                  <w:r>
                    <w:rPr>
                      <w:b/>
                      <w:color w:val="0D0D0D"/>
                      <w:sz w:val="24"/>
                    </w:rPr>
                    <w:t>技术人员要求</w:t>
                  </w:r>
                </w:p>
              </w:tc>
              <w:tc>
                <w:tcPr>
                  <w:tcW w:type="dxa" w:w="1847"/>
                  <w:tcBorders>
                    <w:top w:val="single" w:color="000000" w:sz="4"/>
                    <w:left w:val="none" w:color="000000" w:sz="4"/>
                    <w:bottom w:val="single" w:color="000000" w:sz="4"/>
                    <w:right w:val="single" w:color="000000" w:sz="4"/>
                  </w:tcBorders>
                  <w:shd w:fill="BFBFBF"/>
                  <w:vAlign w:val="top"/>
                </w:tcPr>
                <w:p>
                  <w:pPr>
                    <w:jc w:val="center"/>
                  </w:pPr>
                  <w:r>
                    <w:rPr>
                      <w:color w:val="000000"/>
                      <w:sz w:val="24"/>
                    </w:rPr>
                    <w:t>主要职责</w:t>
                  </w:r>
                </w:p>
              </w:tc>
              <w:tc>
                <w:tcPr>
                  <w:tcW w:type="dxa" w:w="450"/>
                  <w:tcBorders>
                    <w:top w:val="single" w:color="000000" w:sz="4"/>
                    <w:left w:val="none" w:color="000000" w:sz="4"/>
                    <w:bottom w:val="single" w:color="000000" w:sz="4"/>
                    <w:right w:val="single" w:color="000000" w:sz="4"/>
                  </w:tcBorders>
                  <w:shd w:fill="BFBFBF"/>
                  <w:vAlign w:val="top"/>
                </w:tcPr>
                <w:p>
                  <w:pPr>
                    <w:jc w:val="center"/>
                  </w:pPr>
                  <w:r>
                    <w:rPr>
                      <w:color w:val="000000"/>
                      <w:sz w:val="24"/>
                    </w:rPr>
                    <w:t>需要人数</w:t>
                  </w:r>
                </w:p>
              </w:tc>
              <w:tc>
                <w:tcPr>
                  <w:tcW w:type="dxa" w:w="450"/>
                  <w:tcBorders>
                    <w:top w:val="single" w:color="000000" w:sz="4"/>
                    <w:left w:val="none" w:color="000000" w:sz="4"/>
                    <w:bottom w:val="single" w:color="000000" w:sz="4"/>
                    <w:right w:val="single" w:color="000000" w:sz="4"/>
                  </w:tcBorders>
                  <w:shd w:fill="BFBFBF"/>
                  <w:vAlign w:val="top"/>
                </w:tcPr>
                <w:p>
                  <w:pPr>
                    <w:jc w:val="center"/>
                  </w:pPr>
                  <w:r>
                    <w:rPr>
                      <w:color w:val="000000"/>
                      <w:sz w:val="24"/>
                    </w:rPr>
                    <w:t>备注</w:t>
                  </w:r>
                </w:p>
              </w:tc>
            </w:tr>
            <w:tr>
              <w:tc>
                <w:tcPr>
                  <w:tcW w:type="dxa" w:w="274"/>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373"/>
                  <w:vMerge w:val="restart"/>
                  <w:tcBorders>
                    <w:top w:val="none" w:color="000000" w:sz="4"/>
                    <w:left w:val="none" w:color="000000" w:sz="4"/>
                    <w:bottom w:val="single" w:color="000000" w:sz="4"/>
                    <w:right w:val="single" w:color="000000" w:sz="4"/>
                  </w:tcBorders>
                  <w:vAlign w:val="top"/>
                </w:tcPr>
                <w:p>
                  <w:pPr>
                    <w:jc w:val="center"/>
                  </w:pPr>
                  <w:r>
                    <w:rPr>
                      <w:color w:val="000000"/>
                      <w:sz w:val="24"/>
                    </w:rPr>
                    <w:t>项目实施及管理</w:t>
                  </w:r>
                </w:p>
              </w:tc>
              <w:tc>
                <w:tcPr>
                  <w:tcW w:type="dxa" w:w="395"/>
                  <w:vMerge w:val="restart"/>
                  <w:tcBorders>
                    <w:top w:val="none" w:color="000000" w:sz="4"/>
                    <w:left w:val="none" w:color="000000" w:sz="4"/>
                    <w:bottom w:val="single" w:color="000000" w:sz="4"/>
                    <w:right w:val="single" w:color="000000" w:sz="4"/>
                  </w:tcBorders>
                  <w:vAlign w:val="top"/>
                </w:tcPr>
                <w:p>
                  <w:pPr>
                    <w:jc w:val="center"/>
                  </w:pPr>
                  <w:r>
                    <w:rPr>
                      <w:color w:val="000000"/>
                      <w:sz w:val="24"/>
                    </w:rPr>
                    <w:t>服务期</w:t>
                  </w:r>
                </w:p>
              </w:tc>
              <w:tc>
                <w:tcPr>
                  <w:tcW w:type="dxa" w:w="483"/>
                  <w:tcBorders>
                    <w:top w:val="none" w:color="000000" w:sz="4"/>
                    <w:left w:val="none" w:color="000000" w:sz="4"/>
                    <w:bottom w:val="single" w:color="000000" w:sz="4"/>
                    <w:right w:val="single" w:color="000000" w:sz="4"/>
                  </w:tcBorders>
                  <w:vAlign w:val="top"/>
                </w:tcPr>
                <w:p>
                  <w:pPr>
                    <w:jc w:val="center"/>
                  </w:pPr>
                  <w:r>
                    <w:rPr>
                      <w:color w:val="000000"/>
                      <w:sz w:val="24"/>
                    </w:rPr>
                    <w:t>项目</w:t>
                  </w:r>
                  <w:r>
                    <w:rPr>
                      <w:color w:val="000000"/>
                      <w:sz w:val="24"/>
                    </w:rPr>
                    <w:t>总负责人</w:t>
                  </w:r>
                </w:p>
              </w:tc>
              <w:tc>
                <w:tcPr>
                  <w:tcW w:type="dxa" w:w="1286"/>
                  <w:tcBorders>
                    <w:top w:val="none" w:color="000000" w:sz="4"/>
                    <w:left w:val="none" w:color="000000" w:sz="4"/>
                    <w:bottom w:val="single" w:color="000000" w:sz="4"/>
                    <w:right w:val="single" w:color="000000" w:sz="4"/>
                  </w:tcBorders>
                  <w:vAlign w:val="top"/>
                </w:tcPr>
                <w:p>
                  <w:pPr>
                    <w:jc w:val="left"/>
                  </w:pPr>
                  <w:r>
                    <w:rPr>
                      <w:color w:val="000000"/>
                      <w:sz w:val="24"/>
                    </w:rPr>
                    <w:t>高</w:t>
                  </w:r>
                  <w:r>
                    <w:rPr>
                      <w:color w:val="000000"/>
                      <w:sz w:val="24"/>
                    </w:rPr>
                    <w:t>级工程师</w:t>
                  </w:r>
                </w:p>
              </w:tc>
              <w:tc>
                <w:tcPr>
                  <w:tcW w:type="dxa" w:w="1847"/>
                  <w:tcBorders>
                    <w:top w:val="none" w:color="000000" w:sz="4"/>
                    <w:left w:val="none" w:color="000000" w:sz="4"/>
                    <w:bottom w:val="single" w:color="000000" w:sz="4"/>
                    <w:right w:val="single" w:color="000000" w:sz="4"/>
                  </w:tcBorders>
                  <w:vAlign w:val="top"/>
                </w:tcPr>
                <w:p>
                  <w:pPr>
                    <w:jc w:val="left"/>
                  </w:pPr>
                  <w:r>
                    <w:rPr>
                      <w:color w:val="000000"/>
                      <w:sz w:val="24"/>
                    </w:rPr>
                    <w:t>项目整体质量把控及协调工作</w:t>
                  </w:r>
                </w:p>
              </w:tc>
              <w:tc>
                <w:tcPr>
                  <w:tcW w:type="dxa" w:w="450"/>
                  <w:tcBorders>
                    <w:top w:val="none" w:color="000000" w:sz="4"/>
                    <w:left w:val="none" w:color="000000" w:sz="4"/>
                    <w:bottom w:val="single" w:color="000000" w:sz="4"/>
                    <w:right w:val="single" w:color="000000" w:sz="4"/>
                  </w:tcBorders>
                  <w:vAlign w:val="top"/>
                </w:tcPr>
                <w:p>
                  <w:pPr>
                    <w:jc w:val="center"/>
                  </w:pPr>
                  <w:r>
                    <w:rPr>
                      <w:color w:val="000000"/>
                      <w:sz w:val="24"/>
                    </w:rPr>
                    <w:t>1</w:t>
                  </w:r>
                </w:p>
              </w:tc>
              <w:tc>
                <w:tcPr>
                  <w:tcW w:type="dxa" w:w="450"/>
                  <w:tcBorders>
                    <w:top w:val="none" w:color="000000" w:sz="4"/>
                    <w:left w:val="none" w:color="000000" w:sz="4"/>
                    <w:bottom w:val="single" w:color="000000" w:sz="4"/>
                    <w:right w:val="single" w:color="000000" w:sz="4"/>
                  </w:tcBorders>
                  <w:vAlign w:val="top"/>
                </w:tcPr>
                <w:p>
                  <w:pPr>
                    <w:jc w:val="center"/>
                  </w:pPr>
                </w:p>
                <w:p>
                  <w:pPr>
                    <w:jc w:val="center"/>
                  </w:pPr>
                </w:p>
              </w:tc>
            </w:tr>
            <w:tr>
              <w:tc>
                <w:tcPr>
                  <w:tcW w:type="dxa" w:w="274"/>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373"/>
                  <w:vMerge/>
                  <w:tcBorders>
                    <w:top w:val="none" w:color="000000" w:sz="4"/>
                    <w:left w:val="non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483"/>
                  <w:tcBorders>
                    <w:top w:val="none" w:color="000000" w:sz="4"/>
                    <w:left w:val="none" w:color="000000" w:sz="4"/>
                    <w:bottom w:val="single" w:color="000000" w:sz="4"/>
                    <w:right w:val="single" w:color="000000" w:sz="4"/>
                  </w:tcBorders>
                  <w:vAlign w:val="top"/>
                </w:tcPr>
                <w:p>
                  <w:pPr>
                    <w:jc w:val="center"/>
                  </w:pPr>
                  <w:r>
                    <w:rPr>
                      <w:color w:val="000000"/>
                      <w:sz w:val="24"/>
                    </w:rPr>
                    <w:t>项目</w:t>
                  </w:r>
                  <w:r>
                    <w:rPr>
                      <w:color w:val="000000"/>
                      <w:sz w:val="24"/>
                    </w:rPr>
                    <w:t>技术负责人</w:t>
                  </w:r>
                </w:p>
              </w:tc>
              <w:tc>
                <w:tcPr>
                  <w:tcW w:type="dxa" w:w="1286"/>
                  <w:tcBorders>
                    <w:top w:val="none" w:color="000000" w:sz="4"/>
                    <w:left w:val="none" w:color="000000" w:sz="4"/>
                    <w:bottom w:val="single" w:color="000000" w:sz="4"/>
                    <w:right w:val="single" w:color="000000" w:sz="4"/>
                  </w:tcBorders>
                  <w:vAlign w:val="top"/>
                </w:tcPr>
                <w:p>
                  <w:pPr>
                    <w:jc w:val="left"/>
                  </w:pPr>
                  <w:r>
                    <w:rPr>
                      <w:color w:val="000000"/>
                      <w:sz w:val="24"/>
                    </w:rPr>
                    <w:t>高</w:t>
                  </w:r>
                  <w:r>
                    <w:rPr>
                      <w:color w:val="000000"/>
                      <w:sz w:val="24"/>
                    </w:rPr>
                    <w:t>级工程师</w:t>
                  </w:r>
                </w:p>
              </w:tc>
              <w:tc>
                <w:tcPr>
                  <w:tcW w:type="dxa" w:w="1847"/>
                  <w:tcBorders>
                    <w:top w:val="none" w:color="000000" w:sz="4"/>
                    <w:left w:val="none" w:color="000000" w:sz="4"/>
                    <w:bottom w:val="single" w:color="000000" w:sz="4"/>
                    <w:right w:val="single" w:color="000000" w:sz="4"/>
                  </w:tcBorders>
                  <w:vAlign w:val="top"/>
                </w:tcPr>
                <w:p>
                  <w:pPr>
                    <w:jc w:val="left"/>
                  </w:pPr>
                  <w:r>
                    <w:rPr>
                      <w:color w:val="000000"/>
                      <w:sz w:val="24"/>
                    </w:rPr>
                    <w:t>原始资料图档数据的收集、汇总、检查、扫描和入库；对接工程单位技术人员，沟通、研判图纸资料。</w:t>
                  </w:r>
                </w:p>
              </w:tc>
              <w:tc>
                <w:tcPr>
                  <w:tcW w:type="dxa" w:w="450"/>
                  <w:tcBorders>
                    <w:top w:val="none" w:color="000000" w:sz="4"/>
                    <w:left w:val="none" w:color="000000" w:sz="4"/>
                    <w:bottom w:val="single" w:color="000000" w:sz="4"/>
                    <w:right w:val="single" w:color="000000" w:sz="4"/>
                  </w:tcBorders>
                  <w:vAlign w:val="top"/>
                </w:tcPr>
                <w:p>
                  <w:pPr>
                    <w:jc w:val="center"/>
                  </w:pPr>
                  <w:r>
                    <w:rPr>
                      <w:color w:val="000000"/>
                      <w:sz w:val="24"/>
                    </w:rPr>
                    <w:t>1</w:t>
                  </w:r>
                </w:p>
              </w:tc>
              <w:tc>
                <w:tcPr>
                  <w:tcW w:type="dxa" w:w="450"/>
                  <w:tcBorders>
                    <w:top w:val="none" w:color="000000" w:sz="4"/>
                    <w:left w:val="none" w:color="000000" w:sz="4"/>
                    <w:bottom w:val="single" w:color="000000" w:sz="4"/>
                    <w:right w:val="single" w:color="000000" w:sz="4"/>
                  </w:tcBorders>
                  <w:vAlign w:val="top"/>
                </w:tcPr>
                <w:p>
                  <w:pPr>
                    <w:jc w:val="center"/>
                  </w:pPr>
                </w:p>
                <w:p>
                  <w:pPr>
                    <w:jc w:val="center"/>
                  </w:pPr>
                  <w:r>
                    <w:rPr>
                      <w:color w:val="000000"/>
                      <w:sz w:val="24"/>
                    </w:rPr>
                    <w:t>驻场</w:t>
                  </w:r>
                </w:p>
                <w:p>
                  <w:pPr>
                    <w:jc w:val="center"/>
                  </w:pPr>
                </w:p>
              </w:tc>
            </w:tr>
            <w:tr>
              <w:tc>
                <w:tcPr>
                  <w:tcW w:type="dxa" w:w="274"/>
                  <w:tcBorders>
                    <w:top w:val="none" w:color="000000" w:sz="4"/>
                    <w:left w:val="single" w:color="000000" w:sz="4"/>
                    <w:bottom w:val="single" w:color="000000" w:sz="4"/>
                    <w:right w:val="single" w:color="000000" w:sz="4"/>
                  </w:tcBorders>
                  <w:vAlign w:val="top"/>
                </w:tcPr>
                <w:p>
                  <w:pPr>
                    <w:jc w:val="center"/>
                  </w:pPr>
                  <w:r>
                    <w:rPr>
                      <w:color w:val="000000"/>
                      <w:sz w:val="24"/>
                    </w:rPr>
                    <w:t>3</w:t>
                  </w:r>
                </w:p>
              </w:tc>
              <w:tc>
                <w:tcPr>
                  <w:tcW w:type="dxa" w:w="373"/>
                  <w:vMerge/>
                  <w:tcBorders>
                    <w:top w:val="none" w:color="000000" w:sz="4"/>
                    <w:left w:val="non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483"/>
                  <w:tcBorders>
                    <w:top w:val="none" w:color="000000" w:sz="4"/>
                    <w:left w:val="none" w:color="000000" w:sz="4"/>
                    <w:bottom w:val="single" w:color="000000" w:sz="4"/>
                    <w:right w:val="single" w:color="000000" w:sz="4"/>
                  </w:tcBorders>
                  <w:vAlign w:val="top"/>
                </w:tcPr>
                <w:p>
                  <w:pPr>
                    <w:jc w:val="left"/>
                  </w:pPr>
                  <w:r>
                    <w:rPr>
                      <w:color w:val="000000"/>
                      <w:sz w:val="24"/>
                    </w:rPr>
                    <w:t>项目</w:t>
                  </w:r>
                  <w:r>
                    <w:rPr>
                      <w:color w:val="000000"/>
                      <w:sz w:val="24"/>
                    </w:rPr>
                    <w:t>经理</w:t>
                  </w:r>
                </w:p>
              </w:tc>
              <w:tc>
                <w:tcPr>
                  <w:tcW w:type="dxa" w:w="1286"/>
                  <w:tcBorders>
                    <w:top w:val="none" w:color="000000" w:sz="4"/>
                    <w:left w:val="none" w:color="000000" w:sz="4"/>
                    <w:bottom w:val="single" w:color="000000" w:sz="4"/>
                    <w:right w:val="single" w:color="000000" w:sz="4"/>
                  </w:tcBorders>
                  <w:vAlign w:val="top"/>
                </w:tcPr>
                <w:p>
                  <w:pPr>
                    <w:jc w:val="left"/>
                  </w:pPr>
                  <w:r>
                    <w:rPr>
                      <w:color w:val="000000"/>
                      <w:sz w:val="24"/>
                    </w:rPr>
                    <w:t>中级工程师</w:t>
                  </w:r>
                </w:p>
              </w:tc>
              <w:tc>
                <w:tcPr>
                  <w:tcW w:type="dxa" w:w="1847"/>
                  <w:tcBorders>
                    <w:top w:val="none" w:color="000000" w:sz="4"/>
                    <w:left w:val="none" w:color="000000" w:sz="4"/>
                    <w:bottom w:val="single" w:color="000000" w:sz="4"/>
                    <w:right w:val="single" w:color="000000" w:sz="4"/>
                  </w:tcBorders>
                  <w:vAlign w:val="top"/>
                </w:tcPr>
                <w:p>
                  <w:pPr>
                    <w:jc w:val="left"/>
                  </w:pPr>
                  <w:r>
                    <w:rPr>
                      <w:color w:val="000000"/>
                      <w:sz w:val="24"/>
                    </w:rPr>
                    <w:t>基础数据处理及更新建库服务，对管理局各个部门进行需求调研，对各个部门已有数据目标数据进行详细梳理。</w:t>
                  </w:r>
                </w:p>
              </w:tc>
              <w:tc>
                <w:tcPr>
                  <w:tcW w:type="dxa" w:w="450"/>
                  <w:tcBorders>
                    <w:top w:val="none" w:color="000000" w:sz="4"/>
                    <w:left w:val="none" w:color="000000" w:sz="4"/>
                    <w:bottom w:val="single" w:color="000000" w:sz="4"/>
                    <w:right w:val="single" w:color="000000" w:sz="4"/>
                  </w:tcBorders>
                  <w:vAlign w:val="top"/>
                </w:tcPr>
                <w:p>
                  <w:pPr>
                    <w:jc w:val="center"/>
                  </w:pPr>
                  <w:r>
                    <w:rPr>
                      <w:color w:val="000000"/>
                      <w:sz w:val="24"/>
                    </w:rPr>
                    <w:t>1</w:t>
                  </w:r>
                </w:p>
              </w:tc>
              <w:tc>
                <w:tcPr>
                  <w:tcW w:type="dxa" w:w="450"/>
                  <w:tcBorders>
                    <w:top w:val="none" w:color="000000" w:sz="4"/>
                    <w:left w:val="none" w:color="000000" w:sz="4"/>
                    <w:bottom w:val="single" w:color="000000" w:sz="4"/>
                    <w:right w:val="single" w:color="000000" w:sz="4"/>
                  </w:tcBorders>
                  <w:vAlign w:val="top"/>
                </w:tcPr>
                <w:p>
                  <w:pPr>
                    <w:jc w:val="center"/>
                  </w:pPr>
                </w:p>
                <w:p>
                  <w:pPr>
                    <w:jc w:val="center"/>
                  </w:pPr>
                </w:p>
                <w:p>
                  <w:pPr>
                    <w:jc w:val="center"/>
                  </w:pPr>
                  <w:r>
                    <w:rPr>
                      <w:color w:val="000000"/>
                      <w:sz w:val="24"/>
                    </w:rPr>
                    <w:t>驻场</w:t>
                  </w:r>
                </w:p>
                <w:p>
                  <w:pPr>
                    <w:jc w:val="center"/>
                  </w:pPr>
                </w:p>
              </w:tc>
            </w:tr>
            <w:tr>
              <w:tc>
                <w:tcPr>
                  <w:tcW w:type="dxa" w:w="274"/>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373"/>
                  <w:vMerge/>
                  <w:tcBorders>
                    <w:top w:val="none" w:color="000000" w:sz="4"/>
                    <w:left w:val="non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483"/>
                  <w:vMerge w:val="restart"/>
                  <w:tcBorders>
                    <w:top w:val="none" w:color="000000" w:sz="4"/>
                    <w:left w:val="none" w:color="000000" w:sz="4"/>
                    <w:bottom w:val="single" w:color="000000" w:sz="4"/>
                    <w:right w:val="single" w:color="000000" w:sz="4"/>
                  </w:tcBorders>
                  <w:vAlign w:val="top"/>
                </w:tcPr>
                <w:p>
                  <w:pPr>
                    <w:jc w:val="left"/>
                  </w:pPr>
                  <w:r>
                    <w:rPr>
                      <w:color w:val="000000"/>
                      <w:sz w:val="24"/>
                    </w:rPr>
                    <w:t>项目人员</w:t>
                  </w:r>
                </w:p>
              </w:tc>
              <w:tc>
                <w:tcPr>
                  <w:tcW w:type="dxa" w:w="1286"/>
                  <w:tcBorders>
                    <w:top w:val="none" w:color="000000" w:sz="4"/>
                    <w:left w:val="none" w:color="000000" w:sz="4"/>
                    <w:bottom w:val="single" w:color="000000" w:sz="4"/>
                    <w:right w:val="single" w:color="000000" w:sz="4"/>
                  </w:tcBorders>
                  <w:vAlign w:val="top"/>
                </w:tcPr>
                <w:p>
                  <w:pPr>
                    <w:jc w:val="left"/>
                  </w:pPr>
                  <w:r>
                    <w:rPr>
                      <w:color w:val="000000"/>
                      <w:sz w:val="24"/>
                    </w:rPr>
                    <w:t>中级工程师</w:t>
                  </w:r>
                </w:p>
              </w:tc>
              <w:tc>
                <w:tcPr>
                  <w:tcW w:type="dxa" w:w="1847"/>
                  <w:tcBorders>
                    <w:top w:val="none" w:color="000000" w:sz="4"/>
                    <w:left w:val="none" w:color="000000" w:sz="4"/>
                    <w:bottom w:val="single" w:color="000000" w:sz="4"/>
                    <w:right w:val="single" w:color="000000" w:sz="4"/>
                  </w:tcBorders>
                  <w:vAlign w:val="top"/>
                </w:tcPr>
                <w:p>
                  <w:pPr>
                    <w:jc w:val="left"/>
                  </w:pPr>
                  <w:r>
                    <w:rPr>
                      <w:color w:val="000000"/>
                      <w:sz w:val="24"/>
                    </w:rPr>
                    <w:t>数据治理相关工作，如质检、数据风格化配置、数据轻量化配置和数据服务发布等</w:t>
                  </w:r>
                </w:p>
              </w:tc>
              <w:tc>
                <w:tcPr>
                  <w:tcW w:type="dxa" w:w="450"/>
                  <w:tcBorders>
                    <w:top w:val="none" w:color="000000" w:sz="4"/>
                    <w:left w:val="none" w:color="000000" w:sz="4"/>
                    <w:bottom w:val="single" w:color="000000" w:sz="4"/>
                    <w:right w:val="single" w:color="000000" w:sz="4"/>
                  </w:tcBorders>
                  <w:vAlign w:val="top"/>
                </w:tcPr>
                <w:p>
                  <w:pPr>
                    <w:jc w:val="center"/>
                  </w:pPr>
                  <w:r>
                    <w:rPr>
                      <w:color w:val="000000"/>
                      <w:sz w:val="24"/>
                    </w:rPr>
                    <w:t>4</w:t>
                  </w:r>
                </w:p>
              </w:tc>
              <w:tc>
                <w:tcPr>
                  <w:tcW w:type="dxa" w:w="450"/>
                  <w:tcBorders>
                    <w:top w:val="none" w:color="000000" w:sz="4"/>
                    <w:left w:val="none" w:color="000000" w:sz="4"/>
                    <w:bottom w:val="single" w:color="000000" w:sz="4"/>
                    <w:right w:val="single" w:color="000000" w:sz="4"/>
                  </w:tcBorders>
                  <w:vAlign w:val="top"/>
                </w:tcPr>
                <w:p>
                  <w:pPr>
                    <w:jc w:val="center"/>
                  </w:pPr>
                  <w:r>
                    <w:rPr>
                      <w:color w:val="000000"/>
                      <w:sz w:val="24"/>
                    </w:rPr>
                    <w:t>驻场</w:t>
                  </w:r>
                </w:p>
              </w:tc>
            </w:tr>
            <w:tr>
              <w:tc>
                <w:tcPr>
                  <w:tcW w:type="dxa" w:w="274"/>
                  <w:tcBorders>
                    <w:top w:val="none" w:color="000000" w:sz="4"/>
                    <w:left w:val="single" w:color="000000" w:sz="4"/>
                    <w:bottom w:val="single" w:color="000000" w:sz="4"/>
                    <w:right w:val="single" w:color="000000" w:sz="4"/>
                  </w:tcBorders>
                  <w:vAlign w:val="top"/>
                </w:tcPr>
                <w:p>
                  <w:pPr>
                    <w:jc w:val="center"/>
                  </w:pPr>
                  <w:r>
                    <w:rPr>
                      <w:color w:val="000000"/>
                      <w:sz w:val="24"/>
                    </w:rPr>
                    <w:t>5</w:t>
                  </w:r>
                </w:p>
              </w:tc>
              <w:tc>
                <w:tcPr>
                  <w:tcW w:type="dxa" w:w="373"/>
                  <w:vMerge/>
                  <w:tcBorders>
                    <w:top w:val="none" w:color="000000" w:sz="4"/>
                    <w:left w:val="non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vAlign w:val="top"/>
                </w:tcPr>
                <w:p>
                  <w:pPr>
                    <w:jc w:val="left"/>
                  </w:pPr>
                  <w:r>
                    <w:rPr>
                      <w:color w:val="000000"/>
                      <w:sz w:val="24"/>
                    </w:rPr>
                    <w:t>中级工程师</w:t>
                  </w:r>
                </w:p>
              </w:tc>
              <w:tc>
                <w:tcPr>
                  <w:tcW w:type="dxa" w:w="1847"/>
                  <w:tcBorders>
                    <w:top w:val="none" w:color="000000" w:sz="4"/>
                    <w:left w:val="none" w:color="000000" w:sz="4"/>
                    <w:bottom w:val="single" w:color="000000" w:sz="4"/>
                    <w:right w:val="single" w:color="000000" w:sz="4"/>
                  </w:tcBorders>
                  <w:vAlign w:val="top"/>
                </w:tcPr>
                <w:p>
                  <w:pPr>
                    <w:jc w:val="left"/>
                  </w:pPr>
                  <w:r>
                    <w:rPr>
                      <w:color w:val="000000"/>
                      <w:sz w:val="24"/>
                    </w:rPr>
                    <w:t>数据库建设，主要负责基础时空数据、物联网数据、城市管理数据等的建库工作</w:t>
                  </w:r>
                </w:p>
              </w:tc>
              <w:tc>
                <w:tcPr>
                  <w:tcW w:type="dxa" w:w="450"/>
                  <w:tcBorders>
                    <w:top w:val="none" w:color="000000" w:sz="4"/>
                    <w:left w:val="none" w:color="000000" w:sz="4"/>
                    <w:bottom w:val="single" w:color="000000" w:sz="4"/>
                    <w:right w:val="single" w:color="000000" w:sz="4"/>
                  </w:tcBorders>
                  <w:vAlign w:val="top"/>
                </w:tcPr>
                <w:p>
                  <w:pPr>
                    <w:jc w:val="center"/>
                  </w:pPr>
                  <w:r>
                    <w:rPr>
                      <w:color w:val="000000"/>
                      <w:sz w:val="24"/>
                    </w:rPr>
                    <w:t>4</w:t>
                  </w:r>
                </w:p>
              </w:tc>
              <w:tc>
                <w:tcPr>
                  <w:tcW w:type="dxa" w:w="450"/>
                  <w:tcBorders>
                    <w:top w:val="none" w:color="000000" w:sz="4"/>
                    <w:left w:val="none" w:color="000000" w:sz="4"/>
                    <w:bottom w:val="single" w:color="000000" w:sz="4"/>
                    <w:right w:val="single" w:color="000000" w:sz="4"/>
                  </w:tcBorders>
                  <w:vAlign w:val="top"/>
                </w:tcPr>
                <w:p>
                  <w:pPr>
                    <w:jc w:val="center"/>
                  </w:pPr>
                </w:p>
              </w:tc>
            </w:tr>
          </w:tbl>
          <w:p>
            <w:pPr>
              <w:jc w:val="both"/>
            </w:pPr>
            <w:r>
              <w:rPr>
                <w:b/>
                <w:sz w:val="24"/>
              </w:rPr>
              <w:t>（二）服务团队要求</w:t>
            </w:r>
          </w:p>
          <w:p>
            <w:pPr>
              <w:ind w:firstLine="480"/>
              <w:jc w:val="both"/>
            </w:pPr>
            <w:r>
              <w:rPr>
                <w:sz w:val="24"/>
              </w:rPr>
              <w:t>服务提供商应承诺为本项目成立服务项目组，项目组服务成员不少于</w:t>
            </w:r>
            <w:r>
              <w:rPr>
                <w:sz w:val="24"/>
              </w:rPr>
              <w:t>1</w:t>
            </w:r>
            <w:r>
              <w:rPr>
                <w:sz w:val="24"/>
              </w:rPr>
              <w:t>1</w:t>
            </w:r>
            <w:r>
              <w:rPr>
                <w:sz w:val="24"/>
              </w:rPr>
              <w:t>人，其中</w:t>
            </w:r>
            <w:r>
              <w:rPr>
                <w:sz w:val="24"/>
              </w:rPr>
              <w:t>项目总负责人、项目技术负责人、</w:t>
            </w:r>
            <w:r>
              <w:rPr>
                <w:sz w:val="24"/>
              </w:rPr>
              <w:t>项目经理</w:t>
            </w:r>
            <w:r>
              <w:rPr>
                <w:sz w:val="24"/>
              </w:rPr>
              <w:t>各</w:t>
            </w:r>
            <w:r>
              <w:rPr>
                <w:sz w:val="24"/>
              </w:rPr>
              <w:t>1人，项目服务人员最少</w:t>
            </w:r>
            <w:r>
              <w:rPr>
                <w:sz w:val="24"/>
              </w:rPr>
              <w:t>8</w:t>
            </w:r>
            <w:r>
              <w:rPr>
                <w:sz w:val="24"/>
              </w:rPr>
              <w:t>人；需要配置至少</w:t>
            </w:r>
            <w:r>
              <w:rPr>
                <w:sz w:val="24"/>
              </w:rPr>
              <w:t>6</w:t>
            </w:r>
            <w:r>
              <w:rPr>
                <w:sz w:val="24"/>
              </w:rPr>
              <w:t>名实施方人员常驻项目现场，驻场人员必须具备同类项目</w:t>
            </w:r>
            <w:r>
              <w:rPr>
                <w:sz w:val="24"/>
              </w:rPr>
              <w:t>2年以上的工作经验；驻场人员的更换需要提前上报广州市南沙新区明珠湾开发建设管理局，书面提交人员更换的申请，并提供更换人员的简历及相关资质证明材料，在征得广州市南沙新区明珠湾开发建设管理局同意之后方可变更驻场人员，如遇到定期巡检以及重大保障时，需按明珠湾管理局相关需求派遣中级或以上工程师驻点现场，高级工程师负责技术指导以及重大故障保障；项目组协助明珠湾管理局不断改进服务管理水平，组织、管理本项目所有运行服务工作。</w:t>
            </w:r>
          </w:p>
          <w:p>
            <w:pPr>
              <w:jc w:val="both"/>
            </w:pPr>
            <w:r>
              <w:rPr>
                <w:b/>
                <w:sz w:val="24"/>
              </w:rPr>
              <w:t>（三）服务人员要求</w:t>
            </w:r>
          </w:p>
          <w:p>
            <w:pPr>
              <w:ind w:firstLine="480"/>
            </w:pPr>
            <w:r>
              <w:rPr>
                <w:color w:val="000000"/>
                <w:sz w:val="24"/>
              </w:rPr>
              <w:t>服务商制定相关服务要求，驻场服务服务人员任务分工明确合理，应努力做到精通业务、吃苦耐劳、文明礼貌，遵守南沙区明珠湾管理局制定的值班规定和文明准则。基本要求如下：</w:t>
            </w:r>
          </w:p>
          <w:p>
            <w:pPr>
              <w:ind w:firstLine="480"/>
            </w:pPr>
            <w:r>
              <w:rPr>
                <w:color w:val="000000"/>
                <w:sz w:val="24"/>
              </w:rPr>
              <w:t>1.驻场服务人员与甲方单位工作人员上班时间一致。必要时，驻场服务人员参与甲方要求的值班。</w:t>
            </w:r>
          </w:p>
          <w:p>
            <w:pPr>
              <w:ind w:firstLine="480"/>
            </w:pPr>
            <w:r>
              <w:rPr>
                <w:color w:val="000000"/>
                <w:sz w:val="24"/>
              </w:rPr>
              <w:t>2.服务人员要熟悉现场设备的位置；熟悉相关设备的数据处理方法。</w:t>
            </w:r>
          </w:p>
          <w:p>
            <w:pPr>
              <w:ind w:firstLine="480"/>
            </w:pPr>
            <w:r>
              <w:rPr>
                <w:color w:val="000000"/>
                <w:sz w:val="24"/>
              </w:rPr>
              <w:t>3.熟悉相关设备的操作。尤其要熟悉办公区各工作计算机的操作系统，集成系统、硬盘录像机回放、语音内容及播放、历史数据的查看方法；能处理现场的常见相关数据问题处理。</w:t>
            </w:r>
          </w:p>
          <w:p>
            <w:pPr>
              <w:ind w:firstLine="480"/>
            </w:pPr>
            <w:r>
              <w:rPr>
                <w:color w:val="000000"/>
                <w:sz w:val="24"/>
              </w:rPr>
              <w:t>4.服务人员发现意外情况应及时准确地向管理人员报告。</w:t>
            </w:r>
          </w:p>
          <w:p>
            <w:pPr>
              <w:ind w:firstLine="480"/>
            </w:pPr>
            <w:r>
              <w:rPr>
                <w:color w:val="000000"/>
                <w:sz w:val="24"/>
              </w:rPr>
              <w:t>5.要把安全放在第一位，必要时配备安全带、安全帽、绝缘鞋、验电笔等必须安全用具。</w:t>
            </w:r>
          </w:p>
          <w:p>
            <w:pPr>
              <w:ind w:firstLine="480"/>
            </w:pPr>
            <w:r>
              <w:rPr>
                <w:color w:val="000000"/>
                <w:sz w:val="24"/>
              </w:rPr>
              <w:t>6.不论在值班室还是在其他场所，遇到领导要主动使用尊称打招呼。领导来参观要主动起立迎接，礼貌回答领导的提问。遇到领导批评，不论正确与否，都要虚心听取。批评对的立即改正，不对的婉转解释。</w:t>
            </w:r>
          </w:p>
          <w:p>
            <w:pPr>
              <w:ind w:firstLine="480"/>
            </w:pPr>
            <w:r>
              <w:rPr>
                <w:color w:val="000000"/>
                <w:sz w:val="24"/>
              </w:rPr>
              <w:t>7.服务人员现场与其他协作单位工作时，要注意文明礼貌，使用“请、谢谢、不客气”等礼貌用语。</w:t>
            </w:r>
          </w:p>
          <w:p>
            <w:pPr>
              <w:ind w:firstLine="480"/>
            </w:pPr>
            <w:r>
              <w:rPr>
                <w:color w:val="000000"/>
                <w:sz w:val="24"/>
              </w:rPr>
              <w:t>8.无关电脑禁止安装任何软件，禁止拷入/拷出文件操作。不允许接受新闻媒体采访。不得对外泄漏管理局内部信息。</w:t>
            </w:r>
          </w:p>
          <w:p>
            <w:pPr>
              <w:jc w:val="both"/>
            </w:pPr>
            <w:r>
              <w:rPr>
                <w:sz w:val="24"/>
              </w:rPr>
              <w:t>9．项目人员变更需提前一个月向管理局申请，待申请通过后，方可进行变更。</w:t>
            </w:r>
          </w:p>
          <w:p>
            <w:pPr>
              <w:ind w:firstLine="482"/>
            </w:pPr>
          </w:p>
        </w:tc>
      </w:tr>
      <w:tr>
        <w:tc>
          <w:tcPr>
            <w:tcW w:type="dxa" w:w="2076"/>
          </w:tcPr>
          <w:p>
            <w:r>
              <w:rPr/>
              <w:t>★</w:t>
            </w:r>
          </w:p>
        </w:tc>
        <w:tc>
          <w:tcPr>
            <w:tcW w:type="dxa" w:w="415"/>
          </w:tcPr>
          <w:p>
            <w:r>
              <w:rPr/>
              <w:t>11</w:t>
            </w:r>
          </w:p>
        </w:tc>
        <w:tc>
          <w:tcPr>
            <w:tcW w:type="dxa" w:w="5814"/>
          </w:tcPr>
          <w:p>
            <w:pPr>
              <w:ind w:firstLine="482"/>
              <w:jc w:val="left"/>
            </w:pPr>
            <w:r>
              <w:rPr>
                <w:b/>
                <w:sz w:val="24"/>
              </w:rPr>
              <w:t>投标人承诺</w:t>
            </w:r>
            <w:r>
              <w:rPr>
                <w:b/>
                <w:sz w:val="24"/>
              </w:rPr>
              <w:t>（提供承诺函）</w:t>
            </w:r>
            <w:r>
              <w:rPr>
                <w:b/>
                <w:sz w:val="24"/>
              </w:rPr>
              <w:t>中标后能有效地进行资源控制、进度控制和质量控制，确保项目顺利实施，必须建立职责明确、决策有效、执行</w:t>
            </w:r>
            <w:r>
              <w:rPr>
                <w:b/>
                <w:sz w:val="24"/>
              </w:rPr>
              <w:t>有力的项目组织机构，从组织管理方面对项目实施严格、规范和有效的控制。并且要最佳地将项目建设方、项目用户方、项目承建方、技术人员有机地结合到项目的建设中，规范项目建设过程，保证建设质量，达到预定目标。</w:t>
            </w:r>
          </w:p>
        </w:tc>
      </w:tr>
      <w:tr>
        <w:tc>
          <w:tcPr>
            <w:tcW w:type="dxa" w:w="2076"/>
          </w:tcPr>
          <w:p/>
        </w:tc>
        <w:tc>
          <w:tcPr>
            <w:tcW w:type="dxa" w:w="415"/>
          </w:tcPr>
          <w:p>
            <w:r>
              <w:rPr/>
              <w:t>12</w:t>
            </w:r>
          </w:p>
        </w:tc>
        <w:tc>
          <w:tcPr>
            <w:tcW w:type="dxa" w:w="5814"/>
          </w:tcPr>
          <w:p>
            <w:pPr>
              <w:ind w:firstLine="482"/>
              <w:jc w:val="both"/>
            </w:pPr>
            <w:r>
              <w:rPr>
                <w:b/>
                <w:sz w:val="24"/>
              </w:rPr>
              <w:t>四、人员培训需求和计划</w:t>
            </w:r>
          </w:p>
          <w:p>
            <w:pPr>
              <w:ind w:firstLine="482"/>
              <w:jc w:val="both"/>
            </w:pPr>
            <w:r>
              <w:rPr>
                <w:b/>
                <w:sz w:val="24"/>
              </w:rPr>
              <w:t>（一）通过培训达到的信息化人力资源建设目标</w:t>
            </w:r>
          </w:p>
          <w:p>
            <w:pPr>
              <w:jc w:val="both"/>
            </w:pPr>
            <w:r>
              <w:rPr>
                <w:sz w:val="24"/>
              </w:rPr>
              <w:t>在进服务项目进行的同时，必须保证人才的培养。组织开展数据标准规范、数据管理机制等各方面专业知识的培训。在数据治理实施和运营过程中，通过培训使用户方技术人员能够掌握数据治理的基本原理、数据治理体系等方面的技术。培训完成后，用户方技术人员要能够掌握数据治理的过程及数据安全知识等。</w:t>
            </w:r>
          </w:p>
          <w:p>
            <w:pPr>
              <w:ind w:firstLine="482"/>
              <w:jc w:val="both"/>
            </w:pPr>
            <w:r>
              <w:rPr>
                <w:b/>
                <w:sz w:val="24"/>
              </w:rPr>
              <w:t>（二）相关业务人员和技术人员的培训计划</w:t>
            </w:r>
          </w:p>
          <w:p>
            <w:pPr>
              <w:ind w:firstLine="720"/>
              <w:jc w:val="both"/>
            </w:pPr>
            <w:r>
              <w:rPr>
                <w:sz w:val="24"/>
              </w:rPr>
              <w:t>2.1业务人员培训计划</w:t>
            </w:r>
          </w:p>
          <w:p>
            <w:pPr>
              <w:jc w:val="both"/>
            </w:pPr>
            <w:r>
              <w:rPr>
                <w:sz w:val="24"/>
              </w:rPr>
              <w:t>与数据治理原理、项目管理等相关的培训，使业务人员能够从整体上了解和掌握与本期服务相关的知识，进一步明确所属单位在系统建设中所处的位置和要承担的任务，使之掌握项目管理技能。</w:t>
            </w:r>
          </w:p>
          <w:p>
            <w:pPr>
              <w:jc w:val="center"/>
            </w:pPr>
            <w:r>
              <w:rPr>
                <w:sz w:val="24"/>
              </w:rPr>
              <w:t>表</w:t>
            </w:r>
            <w:r>
              <w:rPr>
                <w:sz w:val="24"/>
              </w:rPr>
              <w:t>4?</w:t>
            </w:r>
            <w:r>
              <w:rPr>
                <w:sz w:val="24"/>
              </w:rPr>
              <w:t>1业务人员培训计划表</w:t>
            </w:r>
          </w:p>
          <w:tbl>
            <w:tblPr>
              <w:tblInd w:type="dxa" w:w="135"/>
              <w:tblBorders>
                <w:top w:val="none" w:color="000000" w:sz="4"/>
                <w:left w:val="none" w:color="000000" w:sz="4"/>
                <w:bottom w:val="none" w:color="000000" w:sz="4"/>
                <w:right w:val="none" w:color="000000" w:sz="4"/>
                <w:insideH w:val="none"/>
                <w:insideV w:val="none"/>
              </w:tblBorders>
            </w:tblPr>
            <w:tblGrid>
              <w:gridCol w:w="1986"/>
              <w:gridCol w:w="1320"/>
              <w:gridCol w:w="2269"/>
            </w:tblGrid>
            <w:tr>
              <w:tc>
                <w:tcPr>
                  <w:tcW w:type="dxa" w:w="1986"/>
                  <w:tcBorders>
                    <w:top w:val="single" w:color="000000" w:sz="4"/>
                    <w:left w:val="single" w:color="000000" w:sz="4"/>
                    <w:bottom w:val="single" w:color="000000" w:sz="4"/>
                    <w:right w:val="single" w:color="000000" w:sz="4"/>
                  </w:tcBorders>
                  <w:shd w:fill="A5A5A5"/>
                  <w:vAlign w:val="top"/>
                </w:tcPr>
                <w:p>
                  <w:pPr>
                    <w:jc w:val="center"/>
                  </w:pPr>
                  <w:r>
                    <w:rPr>
                      <w:b/>
                      <w:sz w:val="24"/>
                    </w:rPr>
                    <w:t>时间</w:t>
                  </w:r>
                </w:p>
              </w:tc>
              <w:tc>
                <w:tcPr>
                  <w:tcW w:type="dxa" w:w="1320"/>
                  <w:tcBorders>
                    <w:top w:val="single" w:color="000000" w:sz="4"/>
                    <w:left w:val="single" w:color="000000" w:sz="4"/>
                    <w:bottom w:val="single" w:color="000000" w:sz="4"/>
                    <w:right w:val="single" w:color="000000" w:sz="4"/>
                  </w:tcBorders>
                  <w:shd w:fill="A5A5A5"/>
                  <w:vAlign w:val="top"/>
                </w:tcPr>
                <w:p>
                  <w:pPr>
                    <w:jc w:val="center"/>
                  </w:pPr>
                  <w:r>
                    <w:rPr>
                      <w:b/>
                      <w:sz w:val="24"/>
                    </w:rPr>
                    <w:t>组织方</w:t>
                  </w:r>
                </w:p>
              </w:tc>
              <w:tc>
                <w:tcPr>
                  <w:tcW w:type="dxa" w:w="2269"/>
                  <w:tcBorders>
                    <w:top w:val="single" w:color="000000" w:sz="4"/>
                    <w:left w:val="single" w:color="000000" w:sz="4"/>
                    <w:bottom w:val="single" w:color="000000" w:sz="4"/>
                    <w:right w:val="single" w:color="000000" w:sz="4"/>
                  </w:tcBorders>
                  <w:shd w:fill="A5A5A5"/>
                  <w:vAlign w:val="top"/>
                </w:tcPr>
                <w:p>
                  <w:pPr>
                    <w:jc w:val="center"/>
                  </w:pPr>
                  <w:r>
                    <w:rPr>
                      <w:b/>
                      <w:sz w:val="24"/>
                    </w:rPr>
                    <w:t>培训内容</w:t>
                  </w:r>
                </w:p>
              </w:tc>
            </w:tr>
            <w:tr>
              <w:tc>
                <w:tcPr>
                  <w:tcW w:type="dxa" w:w="1986"/>
                  <w:tcBorders>
                    <w:top w:val="none" w:color="000000" w:sz="4"/>
                    <w:left w:val="single" w:color="000000" w:sz="4"/>
                    <w:bottom w:val="single" w:color="000000" w:sz="4"/>
                    <w:right w:val="single" w:color="000000" w:sz="4"/>
                  </w:tcBorders>
                  <w:vAlign w:val="top"/>
                </w:tcPr>
                <w:p>
                  <w:pPr>
                    <w:jc w:val="center"/>
                  </w:pPr>
                  <w:r>
                    <w:rPr>
                      <w:sz w:val="24"/>
                    </w:rPr>
                    <w:t>项目启动前</w:t>
                  </w:r>
                </w:p>
              </w:tc>
              <w:tc>
                <w:tcPr>
                  <w:tcW w:type="dxa" w:w="1320"/>
                  <w:tcBorders>
                    <w:top w:val="none" w:color="000000" w:sz="4"/>
                    <w:left w:val="single" w:color="000000" w:sz="4"/>
                    <w:bottom w:val="single" w:color="000000" w:sz="4"/>
                    <w:right w:val="single" w:color="000000" w:sz="4"/>
                  </w:tcBorders>
                  <w:vAlign w:val="top"/>
                </w:tcPr>
                <w:p>
                  <w:pPr>
                    <w:jc w:val="center"/>
                  </w:pPr>
                  <w:r>
                    <w:rPr>
                      <w:sz w:val="24"/>
                    </w:rPr>
                    <w:t>承建单位</w:t>
                  </w:r>
                </w:p>
              </w:tc>
              <w:tc>
                <w:tcPr>
                  <w:tcW w:type="dxa" w:w="2269"/>
                  <w:tcBorders>
                    <w:top w:val="none" w:color="000000" w:sz="4"/>
                    <w:left w:val="single" w:color="000000" w:sz="4"/>
                    <w:bottom w:val="single" w:color="000000" w:sz="4"/>
                    <w:right w:val="single" w:color="000000" w:sz="4"/>
                  </w:tcBorders>
                  <w:vAlign w:val="top"/>
                </w:tcPr>
                <w:p>
                  <w:pPr>
                    <w:jc w:val="center"/>
                  </w:pPr>
                  <w:r>
                    <w:rPr>
                      <w:sz w:val="24"/>
                    </w:rPr>
                    <w:t>数据治理等相关基础知识</w:t>
                  </w:r>
                </w:p>
              </w:tc>
            </w:tr>
            <w:tr>
              <w:tc>
                <w:tcPr>
                  <w:tcW w:type="dxa" w:w="1986"/>
                  <w:tcBorders>
                    <w:top w:val="none" w:color="000000" w:sz="4"/>
                    <w:left w:val="single" w:color="000000" w:sz="4"/>
                    <w:bottom w:val="single" w:color="000000" w:sz="4"/>
                    <w:right w:val="single" w:color="000000" w:sz="4"/>
                  </w:tcBorders>
                  <w:vAlign w:val="top"/>
                </w:tcPr>
                <w:p>
                  <w:pPr>
                    <w:jc w:val="center"/>
                  </w:pPr>
                  <w:r>
                    <w:rPr>
                      <w:sz w:val="24"/>
                    </w:rPr>
                    <w:t>项目启动前</w:t>
                  </w:r>
                </w:p>
              </w:tc>
              <w:tc>
                <w:tcPr>
                  <w:tcW w:type="dxa" w:w="1320"/>
                  <w:tcBorders>
                    <w:top w:val="none" w:color="000000" w:sz="4"/>
                    <w:left w:val="single" w:color="000000" w:sz="4"/>
                    <w:bottom w:val="single" w:color="000000" w:sz="4"/>
                    <w:right w:val="single" w:color="000000" w:sz="4"/>
                  </w:tcBorders>
                  <w:vAlign w:val="top"/>
                </w:tcPr>
                <w:p>
                  <w:pPr>
                    <w:jc w:val="center"/>
                  </w:pPr>
                  <w:r>
                    <w:rPr>
                      <w:sz w:val="24"/>
                    </w:rPr>
                    <w:t>承建单位</w:t>
                  </w:r>
                </w:p>
              </w:tc>
              <w:tc>
                <w:tcPr>
                  <w:tcW w:type="dxa" w:w="2269"/>
                  <w:tcBorders>
                    <w:top w:val="none" w:color="000000" w:sz="4"/>
                    <w:left w:val="single" w:color="000000" w:sz="4"/>
                    <w:bottom w:val="single" w:color="000000" w:sz="4"/>
                    <w:right w:val="single" w:color="000000" w:sz="4"/>
                  </w:tcBorders>
                  <w:vAlign w:val="top"/>
                </w:tcPr>
                <w:p>
                  <w:pPr>
                    <w:ind w:firstLine="960"/>
                  </w:pPr>
                  <w:r>
                    <w:rPr>
                      <w:sz w:val="24"/>
                    </w:rPr>
                    <w:t>服务等相关知识</w:t>
                  </w:r>
                </w:p>
              </w:tc>
            </w:tr>
            <w:tr>
              <w:tc>
                <w:tcPr>
                  <w:tcW w:type="dxa" w:w="1986"/>
                  <w:tcBorders>
                    <w:top w:val="none" w:color="000000" w:sz="4"/>
                    <w:left w:val="single" w:color="000000" w:sz="4"/>
                    <w:bottom w:val="single" w:color="000000" w:sz="4"/>
                    <w:right w:val="single" w:color="000000" w:sz="4"/>
                  </w:tcBorders>
                  <w:vAlign w:val="top"/>
                </w:tcPr>
                <w:p>
                  <w:pPr>
                    <w:jc w:val="center"/>
                  </w:pPr>
                  <w:r>
                    <w:rPr>
                      <w:sz w:val="24"/>
                    </w:rPr>
                    <w:t>项目全过程阶段</w:t>
                  </w:r>
                </w:p>
              </w:tc>
              <w:tc>
                <w:tcPr>
                  <w:tcW w:type="dxa" w:w="1320"/>
                  <w:tcBorders>
                    <w:top w:val="none" w:color="000000" w:sz="4"/>
                    <w:left w:val="single" w:color="000000" w:sz="4"/>
                    <w:bottom w:val="single" w:color="000000" w:sz="4"/>
                    <w:right w:val="single" w:color="000000" w:sz="4"/>
                  </w:tcBorders>
                  <w:vAlign w:val="top"/>
                </w:tcPr>
                <w:p>
                  <w:pPr>
                    <w:jc w:val="center"/>
                  </w:pPr>
                  <w:r>
                    <w:rPr>
                      <w:sz w:val="24"/>
                    </w:rPr>
                    <w:t>承建单位</w:t>
                  </w:r>
                </w:p>
              </w:tc>
              <w:tc>
                <w:tcPr>
                  <w:tcW w:type="dxa" w:w="2269"/>
                  <w:tcBorders>
                    <w:top w:val="none" w:color="000000" w:sz="4"/>
                    <w:left w:val="single" w:color="000000" w:sz="4"/>
                    <w:bottom w:val="single" w:color="000000" w:sz="4"/>
                    <w:right w:val="single" w:color="000000" w:sz="4"/>
                  </w:tcBorders>
                  <w:vAlign w:val="top"/>
                </w:tcPr>
                <w:p>
                  <w:pPr>
                    <w:jc w:val="center"/>
                  </w:pPr>
                  <w:r>
                    <w:rPr>
                      <w:sz w:val="24"/>
                    </w:rPr>
                    <w:t>项目现场培训</w:t>
                  </w:r>
                </w:p>
              </w:tc>
            </w:tr>
          </w:tbl>
          <w:p>
            <w:pPr>
              <w:ind w:firstLine="480"/>
              <w:jc w:val="both"/>
            </w:pPr>
            <w:r>
              <w:rPr>
                <w:sz w:val="24"/>
              </w:rPr>
              <w:t>2.2技术人员培训计划</w:t>
            </w:r>
          </w:p>
          <w:p>
            <w:pPr>
              <w:jc w:val="both"/>
            </w:pPr>
            <w:r>
              <w:rPr>
                <w:sz w:val="24"/>
              </w:rPr>
              <w:t>专业技术培训分为系统管理员培训和系统操作员培训，由系统承建方的培训教师来完成培训任务，培训教师均要求具有三年以上的教学经验。</w:t>
            </w:r>
          </w:p>
          <w:p>
            <w:pPr>
              <w:ind w:firstLine="480"/>
              <w:jc w:val="center"/>
            </w:pPr>
            <w:r>
              <w:rPr>
                <w:sz w:val="24"/>
              </w:rPr>
              <w:t>表</w:t>
            </w:r>
            <w:r>
              <w:rPr>
                <w:sz w:val="24"/>
              </w:rPr>
              <w:t>4?</w:t>
            </w:r>
            <w:r>
              <w:rPr>
                <w:sz w:val="24"/>
              </w:rPr>
              <w:t>2专业技术人员培训计划表</w:t>
            </w:r>
          </w:p>
          <w:tbl>
            <w:tblPr>
              <w:tblBorders>
                <w:top w:val="none" w:color="000000" w:sz="4"/>
                <w:left w:val="none" w:color="000000" w:sz="4"/>
                <w:bottom w:val="none" w:color="000000" w:sz="4"/>
                <w:right w:val="none" w:color="000000" w:sz="4"/>
                <w:insideH w:val="none"/>
                <w:insideV w:val="none"/>
              </w:tblBorders>
            </w:tblPr>
            <w:tblGrid>
              <w:gridCol w:w="1648"/>
              <w:gridCol w:w="1260"/>
              <w:gridCol w:w="2667"/>
            </w:tblGrid>
            <w:tr>
              <w:tc>
                <w:tcPr>
                  <w:tcW w:type="dxa" w:w="1648"/>
                  <w:tcBorders>
                    <w:top w:val="single" w:color="000000" w:sz="4"/>
                    <w:left w:val="single" w:color="000000" w:sz="4"/>
                    <w:bottom w:val="single" w:color="000000" w:sz="4"/>
                    <w:right w:val="single" w:color="000000" w:sz="4"/>
                  </w:tcBorders>
                  <w:shd w:fill="A5A5A5"/>
                  <w:vAlign w:val="top"/>
                </w:tcPr>
                <w:p>
                  <w:pPr>
                    <w:jc w:val="center"/>
                  </w:pPr>
                  <w:r>
                    <w:rPr>
                      <w:b/>
                      <w:sz w:val="24"/>
                    </w:rPr>
                    <w:t>时间</w:t>
                  </w:r>
                </w:p>
              </w:tc>
              <w:tc>
                <w:tcPr>
                  <w:tcW w:type="dxa" w:w="1260"/>
                  <w:tcBorders>
                    <w:top w:val="single" w:color="000000" w:sz="4"/>
                    <w:left w:val="single" w:color="000000" w:sz="4"/>
                    <w:bottom w:val="single" w:color="000000" w:sz="4"/>
                    <w:right w:val="single" w:color="000000" w:sz="4"/>
                  </w:tcBorders>
                  <w:shd w:fill="A5A5A5"/>
                  <w:vAlign w:val="top"/>
                </w:tcPr>
                <w:p>
                  <w:pPr>
                    <w:jc w:val="center"/>
                  </w:pPr>
                  <w:r>
                    <w:rPr>
                      <w:b/>
                      <w:sz w:val="24"/>
                    </w:rPr>
                    <w:t>组织方</w:t>
                  </w:r>
                </w:p>
              </w:tc>
              <w:tc>
                <w:tcPr>
                  <w:tcW w:type="dxa" w:w="2667"/>
                  <w:tcBorders>
                    <w:top w:val="single" w:color="000000" w:sz="4"/>
                    <w:left w:val="single" w:color="000000" w:sz="4"/>
                    <w:bottom w:val="single" w:color="000000" w:sz="4"/>
                    <w:right w:val="single" w:color="000000" w:sz="4"/>
                  </w:tcBorders>
                  <w:shd w:fill="A5A5A5"/>
                  <w:vAlign w:val="top"/>
                </w:tcPr>
                <w:p>
                  <w:pPr>
                    <w:jc w:val="center"/>
                  </w:pPr>
                  <w:r>
                    <w:rPr>
                      <w:b/>
                      <w:sz w:val="24"/>
                    </w:rPr>
                    <w:t>培训内容</w:t>
                  </w:r>
                </w:p>
              </w:tc>
            </w:tr>
            <w:tr>
              <w:tc>
                <w:tcPr>
                  <w:tcW w:type="dxa" w:w="1648"/>
                  <w:tcBorders>
                    <w:top w:val="none" w:color="000000" w:sz="4"/>
                    <w:left w:val="single" w:color="000000" w:sz="4"/>
                    <w:bottom w:val="single" w:color="000000" w:sz="4"/>
                    <w:right w:val="single" w:color="000000" w:sz="4"/>
                  </w:tcBorders>
                  <w:vAlign w:val="top"/>
                </w:tcPr>
                <w:p>
                  <w:pPr>
                    <w:jc w:val="center"/>
                  </w:pPr>
                  <w:r>
                    <w:rPr>
                      <w:sz w:val="24"/>
                    </w:rPr>
                    <w:t>项目启动前</w:t>
                  </w:r>
                </w:p>
              </w:tc>
              <w:tc>
                <w:tcPr>
                  <w:tcW w:type="dxa" w:w="1260"/>
                  <w:tcBorders>
                    <w:top w:val="none" w:color="000000" w:sz="4"/>
                    <w:left w:val="single" w:color="000000" w:sz="4"/>
                    <w:bottom w:val="single" w:color="000000" w:sz="4"/>
                    <w:right w:val="single" w:color="000000" w:sz="4"/>
                  </w:tcBorders>
                  <w:vAlign w:val="top"/>
                </w:tcPr>
                <w:p>
                  <w:pPr>
                    <w:jc w:val="center"/>
                  </w:pPr>
                  <w:r>
                    <w:rPr>
                      <w:sz w:val="24"/>
                    </w:rPr>
                    <w:t>承建单位</w:t>
                  </w:r>
                </w:p>
              </w:tc>
              <w:tc>
                <w:tcPr>
                  <w:tcW w:type="dxa" w:w="2667"/>
                  <w:tcBorders>
                    <w:top w:val="none" w:color="000000" w:sz="4"/>
                    <w:left w:val="single" w:color="000000" w:sz="4"/>
                    <w:bottom w:val="single" w:color="000000" w:sz="4"/>
                    <w:right w:val="single" w:color="000000" w:sz="4"/>
                  </w:tcBorders>
                  <w:vAlign w:val="top"/>
                </w:tcPr>
                <w:p>
                  <w:pPr>
                    <w:jc w:val="center"/>
                  </w:pPr>
                  <w:r>
                    <w:rPr>
                      <w:sz w:val="24"/>
                    </w:rPr>
                    <w:t>各相关技术知识培训</w:t>
                  </w:r>
                </w:p>
              </w:tc>
            </w:tr>
            <w:tr>
              <w:tc>
                <w:tcPr>
                  <w:tcW w:type="dxa" w:w="1648"/>
                  <w:tcBorders>
                    <w:top w:val="none" w:color="000000" w:sz="4"/>
                    <w:left w:val="single" w:color="000000" w:sz="4"/>
                    <w:bottom w:val="single" w:color="000000" w:sz="4"/>
                    <w:right w:val="single" w:color="000000" w:sz="4"/>
                  </w:tcBorders>
                  <w:vAlign w:val="top"/>
                </w:tcPr>
                <w:p>
                  <w:pPr>
                    <w:jc w:val="center"/>
                  </w:pPr>
                  <w:r>
                    <w:rPr>
                      <w:sz w:val="24"/>
                    </w:rPr>
                    <w:t>项目全过程</w:t>
                  </w:r>
                </w:p>
              </w:tc>
              <w:tc>
                <w:tcPr>
                  <w:tcW w:type="dxa" w:w="1260"/>
                  <w:tcBorders>
                    <w:top w:val="none" w:color="000000" w:sz="4"/>
                    <w:left w:val="single" w:color="000000" w:sz="4"/>
                    <w:bottom w:val="single" w:color="000000" w:sz="4"/>
                    <w:right w:val="single" w:color="000000" w:sz="4"/>
                  </w:tcBorders>
                  <w:vAlign w:val="top"/>
                </w:tcPr>
                <w:p>
                  <w:pPr>
                    <w:jc w:val="center"/>
                  </w:pPr>
                  <w:r>
                    <w:rPr>
                      <w:sz w:val="24"/>
                    </w:rPr>
                    <w:t>承建单位</w:t>
                  </w:r>
                </w:p>
              </w:tc>
              <w:tc>
                <w:tcPr>
                  <w:tcW w:type="dxa" w:w="2667"/>
                  <w:tcBorders>
                    <w:top w:val="none" w:color="000000" w:sz="4"/>
                    <w:left w:val="single" w:color="000000" w:sz="4"/>
                    <w:bottom w:val="single" w:color="000000" w:sz="4"/>
                    <w:right w:val="single" w:color="000000" w:sz="4"/>
                  </w:tcBorders>
                  <w:vAlign w:val="top"/>
                </w:tcPr>
                <w:p>
                  <w:pPr>
                    <w:jc w:val="center"/>
                  </w:pPr>
                  <w:r>
                    <w:rPr>
                      <w:sz w:val="24"/>
                    </w:rPr>
                    <w:t>项目专题培训，包括如下内容：基础时空数据处理建库；城市管理日常数据及物联网数据的采集建库；相关标准规范；数据安全；系统操作。</w:t>
                  </w:r>
                </w:p>
              </w:tc>
            </w:tr>
          </w:tbl>
          <w:p>
            <w:pPr>
              <w:ind w:firstLine="480"/>
              <w:jc w:val="both"/>
            </w:pPr>
            <w:r>
              <w:rPr>
                <w:sz w:val="24"/>
              </w:rPr>
              <w:t>2.3培训组织与实施</w:t>
            </w:r>
          </w:p>
          <w:p>
            <w:pPr>
              <w:ind w:firstLine="480"/>
              <w:jc w:val="both"/>
            </w:pPr>
            <w:r>
              <w:rPr>
                <w:sz w:val="24"/>
              </w:rPr>
              <w:t>2.3.1概述</w:t>
            </w:r>
          </w:p>
          <w:p>
            <w:pPr>
              <w:ind w:firstLine="480"/>
              <w:jc w:val="both"/>
            </w:pPr>
            <w:r>
              <w:rPr>
                <w:sz w:val="24"/>
              </w:rPr>
              <w:t>根据实际情况对培训的具体方案与日程计划进行讨论和安排，在具体实施前需制定详细的《培训计划》，培训工作在《培训计划》得到用户的确认签字后方可进行。</w:t>
            </w:r>
          </w:p>
          <w:p>
            <w:pPr>
              <w:ind w:firstLine="480"/>
              <w:jc w:val="both"/>
            </w:pPr>
            <w:r>
              <w:rPr>
                <w:sz w:val="24"/>
              </w:rPr>
              <w:t>所有的《培训计划》都由项目经理在适当的时间向用户提出。</w:t>
            </w:r>
          </w:p>
          <w:p>
            <w:pPr>
              <w:ind w:firstLine="480"/>
              <w:jc w:val="both"/>
            </w:pPr>
            <w:r>
              <w:rPr>
                <w:sz w:val="24"/>
              </w:rPr>
              <w:t>对于应用系统培训和系统管理员培训，培训的地点根据用户要求由用户指定地点搭建培训环境。</w:t>
            </w:r>
          </w:p>
          <w:p>
            <w:pPr>
              <w:ind w:firstLine="480"/>
              <w:jc w:val="both"/>
            </w:pPr>
            <w:r>
              <w:rPr>
                <w:sz w:val="24"/>
              </w:rPr>
              <w:t>2.3.2培训要求</w:t>
            </w:r>
          </w:p>
          <w:p>
            <w:pPr>
              <w:ind w:firstLine="480"/>
              <w:jc w:val="both"/>
            </w:pPr>
            <w:r>
              <w:rPr>
                <w:sz w:val="24"/>
              </w:rPr>
              <w:t>培训任务：主要由承建方的培训教师来完成，培训教师均要求具有三年以上的教学经验。完成不少于两次的培训。</w:t>
            </w:r>
          </w:p>
          <w:p>
            <w:pPr>
              <w:jc w:val="both"/>
            </w:pPr>
            <w:r>
              <w:rPr>
                <w:sz w:val="24"/>
              </w:rPr>
              <w:t>培训地点：由承建方与业主方共同商议确定。</w:t>
            </w:r>
          </w:p>
          <w:p>
            <w:pPr>
              <w:ind w:firstLine="480"/>
            </w:pPr>
            <w:r>
              <w:rPr>
                <w:color w:val="000000"/>
                <w:sz w:val="24"/>
              </w:rPr>
              <w:t>培训教材：包括但不限于基础时空数据采集建库；城市管理日常数据及物联网数据的采集建库；相关标准规范、管理机制、数据安全系列培训手册等相关资料，培训资料应经过项目各方评审认可，以确保培训质量。由承建单位负责培训教材编制与印刷。</w:t>
            </w:r>
          </w:p>
          <w:p>
            <w:pPr>
              <w:ind w:firstLine="480"/>
            </w:pPr>
            <w:r>
              <w:rPr>
                <w:color w:val="000000"/>
                <w:sz w:val="24"/>
              </w:rPr>
              <w:t>培训费用：由承建方承担场地租赁费用和其他培训开支。</w:t>
            </w:r>
          </w:p>
          <w:p>
            <w:pPr>
              <w:ind w:firstLine="480"/>
            </w:pPr>
            <w:r>
              <w:rPr>
                <w:color w:val="000000"/>
                <w:sz w:val="24"/>
              </w:rPr>
              <w:t>培训方法：</w:t>
            </w:r>
          </w:p>
          <w:p>
            <w:pPr>
              <w:ind w:firstLine="480"/>
            </w:pPr>
            <w:r>
              <w:rPr>
                <w:color w:val="000000"/>
                <w:sz w:val="24"/>
              </w:rPr>
              <w:t>用户培训方式采用：现场授课</w:t>
            </w:r>
            <w:r>
              <w:rPr>
                <w:color w:val="000000"/>
                <w:sz w:val="24"/>
              </w:rPr>
              <w:t>+上机辅导为主，远程培训、热线支持为辅。</w:t>
            </w:r>
          </w:p>
          <w:p>
            <w:pPr>
              <w:jc w:val="both"/>
            </w:pPr>
            <w:r>
              <w:rPr>
                <w:sz w:val="24"/>
              </w:rPr>
              <w:t>除了集中培训之外，也可以将培训内容制作成视频文件或多媒体课件，由操作员在网上在线学习或下载后离线自学。</w:t>
            </w:r>
          </w:p>
          <w:p>
            <w:pPr>
              <w:ind w:firstLine="480"/>
              <w:jc w:val="both"/>
            </w:pPr>
            <w:r>
              <w:rPr>
                <w:sz w:val="24"/>
              </w:rPr>
              <w:t>2.3.3培训流程</w:t>
            </w:r>
          </w:p>
          <w:p>
            <w:pPr>
              <w:jc w:val="both"/>
            </w:pPr>
            <w:r>
              <w:rPr>
                <w:sz w:val="24"/>
              </w:rPr>
              <w:t>培训流程可以分为以下六个过程：</w:t>
            </w:r>
          </w:p>
          <w:p>
            <w:pPr>
              <w:jc w:val="both"/>
            </w:pPr>
            <w:r>
              <w:drawing>
                <wp:inline distT="0" distR="0" distB="0" distL="0">
                  <wp:extent cx="2019300" cy="360997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2019300" cy="3609975"/>
                          </a:xfrm>
                          <a:prstGeom prst="rect">
                            <a:avLst/>
                          </a:prstGeom>
                        </pic:spPr>
                      </pic:pic>
                    </a:graphicData>
                  </a:graphic>
                </wp:inline>
              </w:drawing>
            </w:r>
          </w:p>
          <w:p>
            <w:pPr>
              <w:ind w:firstLine="480"/>
              <w:jc w:val="center"/>
            </w:pPr>
            <w:r>
              <w:rPr>
                <w:sz w:val="24"/>
              </w:rPr>
              <w:t>图</w:t>
            </w:r>
            <w:r>
              <w:rPr>
                <w:sz w:val="24"/>
              </w:rPr>
              <w:t>4?</w:t>
            </w:r>
            <w:r>
              <w:rPr>
                <w:sz w:val="24"/>
              </w:rPr>
              <w:t>3 培训流程图</w:t>
            </w:r>
          </w:p>
          <w:p>
            <w:pPr>
              <w:ind w:firstLine="480"/>
              <w:jc w:val="both"/>
            </w:pPr>
            <w:r>
              <w:rPr>
                <w:sz w:val="24"/>
              </w:rPr>
              <w:t>主要通过学员的《培训结果反馈表》、《课程反馈表》以及《个人总结报告》来获得培训效果反馈。承建方提交培训总结报告，应全面、客观地总结分析经验教训及培训成效。</w:t>
            </w:r>
          </w:p>
          <w:p>
            <w:pPr>
              <w:ind w:firstLine="480"/>
              <w:jc w:val="both"/>
            </w:pPr>
            <w:r>
              <w:rPr>
                <w:sz w:val="24"/>
              </w:rPr>
              <w:t>2.3.4培训内容</w:t>
            </w:r>
          </w:p>
          <w:p>
            <w:pPr>
              <w:ind w:firstLine="480"/>
            </w:pPr>
            <w:r>
              <w:rPr>
                <w:color w:val="000000"/>
                <w:sz w:val="24"/>
              </w:rPr>
              <w:t>培训内容包括但不限于以下内容：</w:t>
            </w:r>
          </w:p>
          <w:p>
            <w:pPr>
              <w:jc w:val="both"/>
            </w:pPr>
            <w:r>
              <w:rPr>
                <w:sz w:val="24"/>
              </w:rPr>
              <w:t>基础时空数据采集建库；城市管理日常数据及物联网数据的采集建库；相关标准规范；数据安全；系统操作。</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1.采购代理机构：本项目是指广东国利招标有限公司，负责整个采购活动的组织，依法负责编制和发布招标文件，对招标文件拥有最终的解释权，不以任何身份出任评标委员会成员。</w:t>
      </w:r>
    </w:p>
    <w:p>
      <w:pPr>
        <w:ind w:firstLine="480"/>
      </w:pPr>
      <w:r>
        <w:rPr/>
        <w:t>2.采购人：本项目是指</w:t>
      </w:r>
      <w:r>
        <w:rPr/>
        <w:t>广州市南沙新区明珠湾开发建设管理局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5</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兼投兼中：本项目不适用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1、投标供应商应承担所有与准备和参加投标有关的费用不论投标的结果如何，釆购代理机构和采购人均无义务和责任承担这些费用。2、中标人在领取《中标通知书》时须向釆购代理机构缴纳基础招标代理服务费及专家评审费。基础招标代理服务费参考《招标代理服务收费管理暂行办法》计价格[2002]1980号、《招标代理服务收费管理暂行办法》（发改办价格[2003]857号）文及本项目招标代理协议规定的收费标准；专家评审费参考《政府采购评审专家管理办法》（财库[2016]198号）、《广东省财政厅关于修订广东省政府釆购评审专家劳务报酬标准的通知》（粤财釆购[2020]17号）及本项目招标代理协议规定的标准，不足的按实结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林小姐</w:t>
      </w:r>
    </w:p>
    <w:p>
      <w:pPr>
        <w:ind w:firstLine="480"/>
      </w:pPr>
      <w:r>
        <w:rPr/>
        <w:t>电话：</w:t>
      </w:r>
      <w:r>
        <w:rPr/>
        <w:t>020-85200402</w:t>
      </w:r>
    </w:p>
    <w:p>
      <w:pPr>
        <w:ind w:firstLine="480"/>
      </w:pPr>
      <w:r>
        <w:rPr/>
        <w:t>传真：</w:t>
      </w:r>
      <w:r>
        <w:rPr/>
        <w:t>85200421</w:t>
      </w:r>
    </w:p>
    <w:p>
      <w:pPr>
        <w:ind w:firstLine="480"/>
      </w:pPr>
      <w:r>
        <w:rPr/>
        <w:t>邮箱：</w:t>
      </w:r>
      <w:r>
        <w:rPr/>
        <w:t>gdglzb@163.com</w:t>
      </w:r>
    </w:p>
    <w:p>
      <w:pPr>
        <w:ind w:firstLine="480"/>
      </w:pPr>
      <w:r>
        <w:rPr/>
        <w:t>地址：</w:t>
      </w:r>
      <w:r>
        <w:rPr/>
        <w:t>广州市天河区珠江新城华强路9号保利克洛维中盈大厦22楼2202</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政府采购监督管理机构名称：广州市南沙区财政局财政监督管理处</w:t>
      </w:r>
    </w:p>
    <w:p>
      <w:r>
        <w:rPr/>
        <w:t>地  址：广州市南沙区凤凰大道1号D栋3楼</w:t>
      </w:r>
    </w:p>
    <w:p>
      <w:r>
        <w:rPr/>
        <w:t>电  话：020-39078089</w:t>
      </w:r>
    </w:p>
    <w:p>
      <w:r>
        <w:rPr/>
        <w:t>邮  编：511455</w:t>
      </w:r>
    </w:p>
    <w:p>
      <w:r>
        <w:rPr/>
        <w:t>传  真：020-84986648</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明珠湾起步区智慧城市数据治理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广东国利招标有限公司</w:t>
      </w:r>
      <w:r>
        <w:rPr/>
        <w:t>统一对外发布。</w:t>
      </w:r>
    </w:p>
    <w:p>
      <w:pPr>
        <w:ind w:firstLine="480"/>
      </w:pPr>
      <w:r>
        <w:rPr/>
        <w:t>（2）对</w:t>
      </w:r>
      <w:r>
        <w:rPr/>
        <w:t>广东国利招标有限公司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不同投标人的电子投标文件制作机器计算机的网卡MAC地址硬件信息相同的；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第二中标候选人报价低于第一中标候选人报价20％以上的，只推荐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采购包1（明珠湾起步区智慧城市数据治理服务项目）：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投标（响应）供应商报价给予C1的价格扣除（C1的取值范围见价格扣除比例），即：评标（评审）价＝核实价－小微企业产品核实价×C1</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系统抓取并记录到供应商与同项目（采购包）其他投标（响应）供应商电子投标文件制作计算机的网卡MAC地址硬件信息相同（开标现场上传电子投标文件的除外）的情形，评标委员会应认定其投标（响应）无效。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采购包1（明珠湾起步区智慧城市数据治理服务项目）：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依据《投标函》及其附件，分支机构投标的，还须提供分支机构的营业执照（执业许可证）扫描件及总公司（总所）出具给分支机构的授权书。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依据《投标函》；</w:t>
            </w:r>
          </w:p>
        </w:tc>
      </w:tr>
      <w:tr>
        <w:tc>
          <w:tcPr>
            <w:tcW w:type="dxa" w:w="890"/>
          </w:tcPr>
          <w:p>
            <w:r>
              <w:rPr/>
              <w:t>3</w:t>
            </w:r>
          </w:p>
        </w:tc>
        <w:tc>
          <w:tcPr>
            <w:tcW w:type="dxa" w:w="3178"/>
          </w:tcPr>
          <w:p>
            <w:r>
              <w:rPr/>
              <w:t>具有良好的商业信誉和健全的财务会计制度</w:t>
            </w:r>
          </w:p>
        </w:tc>
        <w:tc>
          <w:tcPr>
            <w:tcW w:type="dxa" w:w="4238"/>
          </w:tcPr>
          <w:p>
            <w:r>
              <w:rPr/>
              <w:t>依据《投标函》；</w:t>
            </w:r>
          </w:p>
        </w:tc>
      </w:tr>
      <w:tr>
        <w:tc>
          <w:tcPr>
            <w:tcW w:type="dxa" w:w="890"/>
          </w:tcPr>
          <w:p>
            <w:r>
              <w:rPr/>
              <w:t>4</w:t>
            </w:r>
          </w:p>
        </w:tc>
        <w:tc>
          <w:tcPr>
            <w:tcW w:type="dxa" w:w="3178"/>
          </w:tcPr>
          <w:p>
            <w:r>
              <w:rPr/>
              <w:t>履行合同所必需的设备和专业技术能力</w:t>
            </w:r>
          </w:p>
        </w:tc>
        <w:tc>
          <w:tcPr>
            <w:tcW w:type="dxa" w:w="4238"/>
          </w:tcPr>
          <w:p>
            <w:r>
              <w:rPr/>
              <w:t>依据《投标函》；</w:t>
            </w:r>
          </w:p>
        </w:tc>
      </w:tr>
      <w:tr>
        <w:tc>
          <w:tcPr>
            <w:tcW w:type="dxa" w:w="890"/>
          </w:tcPr>
          <w:p>
            <w:r>
              <w:rPr/>
              <w:t>5</w:t>
            </w:r>
          </w:p>
        </w:tc>
        <w:tc>
          <w:tcPr>
            <w:tcW w:type="dxa" w:w="3178"/>
          </w:tcPr>
          <w:p>
            <w:r>
              <w:rPr/>
              <w:t>参加采购活动前3年内，在经营活动中没有重大违法记录</w:t>
            </w:r>
          </w:p>
        </w:tc>
        <w:tc>
          <w:tcPr>
            <w:tcW w:type="dxa" w:w="4238"/>
          </w:tcPr>
          <w:p>
            <w:r>
              <w:rPr/>
              <w:t>依据《投标函》；</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微企业采购的项目，原因和情形为：按照《政府采购促进中小企业发展管理办法》规定，预留采购份额无法确保充分供应、充分竞争，或者存在可能影响政府采购目标实现的情形。本项目对应中小企业划分标准所属行业为：其他未列明行业。</w:t>
            </w:r>
          </w:p>
        </w:tc>
      </w:tr>
      <w:tr>
        <w:tc>
          <w:tcPr>
            <w:tcW w:type="dxa" w:w="890"/>
          </w:tcPr>
          <w:p>
            <w:r>
              <w:rPr/>
              <w:t>9</w:t>
            </w:r>
          </w:p>
        </w:tc>
        <w:tc>
          <w:tcPr>
            <w:tcW w:type="dxa" w:w="3178"/>
          </w:tcPr>
          <w:p>
            <w:r>
              <w:rPr/>
              <w:t>单位负责人为同一人或者彼此存在投资与被投资关系</w:t>
            </w:r>
          </w:p>
        </w:tc>
        <w:tc>
          <w:tcPr>
            <w:tcW w:type="dxa" w:w="4238"/>
          </w:tcPr>
          <w:p>
            <w:r>
              <w:rPr/>
              <w:t>单位负责人为同一人或者彼此存在投资与被投资关系的、彼此的经营者、董事会（或同类管理机构）成员属于直系亲属或配偶关系的、法定代表人或单位负责人为同一人或者存在控股、管理关系的不同供应商，不得参加同一项目的投标；</w:t>
            </w:r>
          </w:p>
        </w:tc>
      </w:tr>
      <w:tr>
        <w:tc>
          <w:tcPr>
            <w:tcW w:type="dxa" w:w="890"/>
          </w:tcPr>
          <w:p>
            <w:r>
              <w:rPr/>
              <w:t>10</w:t>
            </w:r>
          </w:p>
        </w:tc>
        <w:tc>
          <w:tcPr>
            <w:tcW w:type="dxa" w:w="3178"/>
          </w:tcPr>
          <w:p>
            <w:r>
              <w:rPr/>
              <w:t>本项目不接受联合体投标</w:t>
            </w:r>
          </w:p>
        </w:tc>
        <w:tc>
          <w:tcPr>
            <w:tcW w:type="dxa" w:w="4238"/>
          </w:tcPr>
          <w:p>
            <w:r>
              <w:rPr/>
              <w:t>本项目不接受联合体投标。</w:t>
            </w:r>
          </w:p>
        </w:tc>
      </w:tr>
    </w:tbl>
    <w:p/>
    <w:p>
      <w:pPr>
        <w:ind w:firstLine="480"/>
      </w:pPr>
      <w:r>
        <w:rPr/>
        <w:t>表二符合性审查表：</w:t>
      </w:r>
    </w:p>
    <w:p>
      <w:pPr>
        <w:ind w:firstLine="480"/>
      </w:pPr>
    </w:p>
    <w:p/>
    <w:p>
      <w:r>
        <w:rPr/>
        <w:t>采购包1（明珠湾起步区智慧城市数据治理服务项目）：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投标文件签署、盖章、授权</w:t>
            </w:r>
          </w:p>
        </w:tc>
        <w:tc>
          <w:tcPr>
            <w:tcW w:type="dxa" w:w="4238"/>
          </w:tcPr>
          <w:p>
            <w:r>
              <w:rPr/>
              <w:t>按照招标文件规定要求签署、盖章且投标文件有法定代表人签字或盖个人名章（或 签字人有法定代表人有效授权书）。</w:t>
            </w:r>
          </w:p>
        </w:tc>
      </w:tr>
      <w:tr>
        <w:tc>
          <w:tcPr>
            <w:tcW w:type="dxa" w:w="890"/>
          </w:tcPr>
          <w:p>
            <w:r>
              <w:rPr/>
              <w:t>2</w:t>
            </w:r>
          </w:p>
        </w:tc>
        <w:tc>
          <w:tcPr>
            <w:tcW w:type="dxa" w:w="3178"/>
          </w:tcPr>
          <w:p>
            <w:r>
              <w:rPr/>
              <w:t>投标函、投标有效期</w:t>
            </w:r>
          </w:p>
        </w:tc>
        <w:tc>
          <w:tcPr>
            <w:tcW w:type="dxa" w:w="4238"/>
          </w:tcPr>
          <w:p>
            <w:r>
              <w:rPr/>
              <w:t>《投标函》已提交并符合招标文件要求，且投标有效期满足招标文件要求。</w:t>
            </w:r>
          </w:p>
        </w:tc>
      </w:tr>
      <w:tr>
        <w:tc>
          <w:tcPr>
            <w:tcW w:type="dxa" w:w="890"/>
          </w:tcPr>
          <w:p>
            <w:r>
              <w:rPr/>
              <w:t>3</w:t>
            </w:r>
          </w:p>
        </w:tc>
        <w:tc>
          <w:tcPr>
            <w:tcW w:type="dxa" w:w="3178"/>
          </w:tcPr>
          <w:p>
            <w:r>
              <w:rPr/>
              <w:t>实质性条款（含打“★”号条款）</w:t>
            </w:r>
          </w:p>
        </w:tc>
        <w:tc>
          <w:tcPr>
            <w:tcW w:type="dxa" w:w="4238"/>
          </w:tcPr>
          <w:p>
            <w:r>
              <w:rPr/>
              <w:t>实质性响应招标文件中“★”号条款的技术、商务要求：投标方案不得对实质性技术与商务的（即标注★号条款）条款产生偏离</w:t>
            </w:r>
          </w:p>
        </w:tc>
      </w:tr>
      <w:tr>
        <w:tc>
          <w:tcPr>
            <w:tcW w:type="dxa" w:w="890"/>
          </w:tcPr>
          <w:p>
            <w:r>
              <w:rPr/>
              <w:t>4</w:t>
            </w:r>
          </w:p>
        </w:tc>
        <w:tc>
          <w:tcPr>
            <w:tcW w:type="dxa" w:w="3178"/>
          </w:tcPr>
          <w:p>
            <w:r>
              <w:rPr/>
              <w:t>投标人报价</w:t>
            </w:r>
          </w:p>
        </w:tc>
        <w:tc>
          <w:tcPr>
            <w:tcW w:type="dxa" w:w="4238"/>
          </w:tcPr>
          <w:p>
            <w:r>
              <w:rPr/>
              <w:t>（1）投标供应商报价（含单项报价，如有要求）确定且未超过采购文件中列出的采购预算（最高限价）； （2）如有，对评标委员会按照招标文件规定修正后的投标报价，投标人按规定书面确认； （3）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r>
              <w:rPr/>
              <w:t>5</w:t>
            </w:r>
          </w:p>
        </w:tc>
        <w:tc>
          <w:tcPr>
            <w:tcW w:type="dxa" w:w="3178"/>
          </w:tcPr>
          <w:p>
            <w:r>
              <w:rPr/>
              <w:t>其他无效投标情形</w:t>
            </w:r>
          </w:p>
        </w:tc>
        <w:tc>
          <w:tcPr>
            <w:tcW w:type="dxa" w:w="4238"/>
          </w:tcPr>
          <w:p>
            <w:r>
              <w:rPr/>
              <w:t>未发现存在如下其他无效投标情形之一： （1）评审期间，供应商没有按评标委员会的要求提交有效的澄清、说明、补正，或提交的澄清、说明、补正改变了投标文件的实质性内容； （2）供应商对采购人、采购代理机构、评标委员会及其工作人员施加影响，有碍公平、公正； （3）招标文件中规定的其它无效投标情形； （4）法律法规规定属于响应无效的其他情形。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明珠湾起步区智慧城市数据治理服务项目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项目总体理解 (5.0分)</w:t>
            </w:r>
            <w:r>
              <w:rPr/>
              <w:t>，（等次分值选择：</w:t>
            </w:r>
            <w:r>
              <w:rPr/>
              <w:t>0.0;</w:t>
            </w:r>
            <w:r>
              <w:rPr/>
              <w:t>1.0;</w:t>
            </w:r>
            <w:r>
              <w:rPr/>
              <w:t>3.0;</w:t>
            </w:r>
            <w:r>
              <w:rPr/>
              <w:t>5.0;</w:t>
            </w:r>
            <w:r>
              <w:rPr/>
              <w:t>）</w:t>
            </w:r>
          </w:p>
        </w:tc>
        <w:tc>
          <w:tcPr>
            <w:tcW w:type="dxa" w:w="5076"/>
          </w:tcPr>
          <w:p>
            <w:pPr>
              <w:jc w:val="left"/>
            </w:pPr>
            <w:r>
              <w:rPr/>
              <w:t>根据投标人提供的项目总体理解情况由专家进行综合评审： 针对项目的需求内容深入透彻，建设重点、难点认识到位，提出建设策略合理、有针对性，得5分； 对项目的需求内容理解较清晰，重点、难点认识比较到位，提出建设策略合理、不够针对性，得3分； 对项目的需求内容理解基本深入透彻，建设痛点、难点认识基本到位，提出建议策略基本合理、基本有针对性，得1分； 其他或无响应，得0分。</w:t>
            </w:r>
          </w:p>
        </w:tc>
      </w:tr>
      <w:tr>
        <w:tc>
          <w:tcPr>
            <w:tcW w:type="dxa" w:w="922"/>
            <w:gridSpan w:val="2"/>
            <w:vMerge/>
          </w:tcPr>
          <w:p/>
        </w:tc>
        <w:tc>
          <w:tcPr>
            <w:tcW w:type="dxa" w:w="2307"/>
          </w:tcPr>
          <w:p>
            <w:pPr>
              <w:jc w:val="left"/>
            </w:pPr>
            <w:r>
              <w:rPr/>
              <w:t>设计原则与技术路线 (5.0分)</w:t>
            </w:r>
            <w:r>
              <w:rPr/>
              <w:t>，（等次分值选择：</w:t>
            </w:r>
            <w:r>
              <w:rPr/>
              <w:t>0.0;</w:t>
            </w:r>
            <w:r>
              <w:rPr/>
              <w:t>1.0;</w:t>
            </w:r>
            <w:r>
              <w:rPr/>
              <w:t>3.0;</w:t>
            </w:r>
            <w:r>
              <w:rPr/>
              <w:t>5.0;</w:t>
            </w:r>
            <w:r>
              <w:rPr/>
              <w:t>）</w:t>
            </w:r>
          </w:p>
        </w:tc>
        <w:tc>
          <w:tcPr>
            <w:tcW w:type="dxa" w:w="5076"/>
          </w:tcPr>
          <w:p>
            <w:pPr>
              <w:jc w:val="left"/>
            </w:pPr>
            <w:r>
              <w:rPr/>
              <w:t>根据投标人提供的设计的先进性、扩展性、共享性、继承性、安全可靠性、智能化原则及技术路线内容由专家进行综合评定。 内容完整、详细、表述清晰、科学合理、切实可行，完全满足项目现状，得5分； 内容比较完整、详细、表述清晰、比较合理、可行，得3分； 内容基本完整、详细、表述基本清晰、合理、可行性稍差，得1分； 其它或无响应，得0分。</w:t>
            </w:r>
          </w:p>
        </w:tc>
      </w:tr>
      <w:tr>
        <w:tc>
          <w:tcPr>
            <w:tcW w:type="dxa" w:w="922"/>
            <w:gridSpan w:val="2"/>
            <w:vMerge/>
          </w:tcPr>
          <w:p/>
        </w:tc>
        <w:tc>
          <w:tcPr>
            <w:tcW w:type="dxa" w:w="2307"/>
          </w:tcPr>
          <w:p>
            <w:pPr>
              <w:jc w:val="left"/>
            </w:pPr>
            <w:r>
              <w:rPr/>
              <w:t>总体服务方案要求及方案响应情况 (10.0分)</w:t>
            </w:r>
            <w:r>
              <w:rPr/>
              <w:t>，（等次分值选择：</w:t>
            </w:r>
            <w:r>
              <w:rPr/>
              <w:t>0.0;</w:t>
            </w:r>
            <w:r>
              <w:rPr/>
              <w:t>4.0;</w:t>
            </w:r>
            <w:r>
              <w:rPr/>
              <w:t>7.0;</w:t>
            </w:r>
            <w:r>
              <w:rPr/>
              <w:t>10.0;</w:t>
            </w:r>
            <w:r>
              <w:rPr/>
              <w:t>）</w:t>
            </w:r>
          </w:p>
        </w:tc>
        <w:tc>
          <w:tcPr>
            <w:tcW w:type="dxa" w:w="5076"/>
          </w:tcPr>
          <w:p>
            <w:pPr>
              <w:jc w:val="left"/>
            </w:pPr>
            <w:r>
              <w:rPr/>
              <w:t>根据投标人提供的总体服务方案要求及方案响应情况由专家进行综合评审： 方案对项目理解深入透彻，整体架构清晰，阐述内容主次分明，可操作性、可行性强 ，得10分； 方案对项目理解较为深入，整体架构较清晰，阐述内容主次较 为分明，具有一定的可操作性、可行性较强，得7分； 方案对项目基本理解，整体架构基本清晰，阐述内容主次基本分明，方案具有基本的可操作性、可行性，得4分； 方案对项目理解不够准确，整体架构不够清晰，阐述内容主次不分，方案可操作性、可行性差，得0分。</w:t>
            </w:r>
          </w:p>
        </w:tc>
      </w:tr>
      <w:tr>
        <w:tc>
          <w:tcPr>
            <w:tcW w:type="dxa" w:w="922"/>
            <w:gridSpan w:val="2"/>
            <w:vMerge/>
          </w:tcPr>
          <w:p/>
        </w:tc>
        <w:tc>
          <w:tcPr>
            <w:tcW w:type="dxa" w:w="2307"/>
          </w:tcPr>
          <w:p>
            <w:pPr>
              <w:jc w:val="left"/>
            </w:pPr>
            <w:r>
              <w:rPr/>
              <w:t>原始资料图档建库 (3.0分)</w:t>
            </w:r>
            <w:r>
              <w:rPr/>
              <w:t>，（等次分值选择：</w:t>
            </w:r>
            <w:r>
              <w:rPr/>
              <w:t>0.0;</w:t>
            </w:r>
            <w:r>
              <w:rPr/>
              <w:t>0.5;</w:t>
            </w:r>
            <w:r>
              <w:rPr/>
              <w:t>1.0;</w:t>
            </w:r>
            <w:r>
              <w:rPr/>
              <w:t>3.0;</w:t>
            </w:r>
            <w:r>
              <w:rPr/>
              <w:t>）</w:t>
            </w:r>
          </w:p>
        </w:tc>
        <w:tc>
          <w:tcPr>
            <w:tcW w:type="dxa" w:w="5076"/>
          </w:tcPr>
          <w:p>
            <w:pPr>
              <w:jc w:val="left"/>
            </w:pPr>
            <w:r>
              <w:rPr/>
              <w:t>提供原始资料图档建库的设计方案，包括但不限于资料收集与筛选、资料整理、图像质检、抽样质检、入库上图、数据成果与平台对接。 内容完整、详细、表述清晰、科学合理、切实可行且提供与现有平台无缝对接证明材料的得3分； 内容比较完整、详细、表述清晰、比较合理、可行，得1分； 内容基本完整、详细、表述基本清晰、合 理、可行性稍差，得0.5分； 其它或无响应，得0分。</w:t>
            </w:r>
          </w:p>
        </w:tc>
      </w:tr>
      <w:tr>
        <w:tc>
          <w:tcPr>
            <w:tcW w:type="dxa" w:w="922"/>
            <w:gridSpan w:val="2"/>
            <w:vMerge/>
          </w:tcPr>
          <w:p/>
        </w:tc>
        <w:tc>
          <w:tcPr>
            <w:tcW w:type="dxa" w:w="2307"/>
          </w:tcPr>
          <w:p>
            <w:pPr>
              <w:jc w:val="left"/>
            </w:pPr>
            <w:r>
              <w:rPr/>
              <w:t>关键技术要求 (8.0分)</w:t>
            </w:r>
            <w:r>
              <w:rPr/>
              <w:t>，（等次分值选择：</w:t>
            </w:r>
            <w:r>
              <w:rPr/>
              <w:t>0.0;</w:t>
            </w:r>
            <w:r>
              <w:rPr/>
              <w:t>2.0;</w:t>
            </w:r>
            <w:r>
              <w:rPr/>
              <w:t>5.0;</w:t>
            </w:r>
            <w:r>
              <w:rPr/>
              <w:t>8.0;</w:t>
            </w:r>
            <w:r>
              <w:rPr/>
              <w:t>）</w:t>
            </w:r>
          </w:p>
        </w:tc>
        <w:tc>
          <w:tcPr>
            <w:tcW w:type="dxa" w:w="5076"/>
          </w:tcPr>
          <w:p>
            <w:pPr>
              <w:jc w:val="left"/>
            </w:pPr>
            <w:r>
              <w:rPr/>
              <w:t>根据本项目对数据治理方面专业技术要求，为了保障项目质量及效率投标人需掌握GIS（地理信息系统）以及GIS(地理信息系统)+BIM（建筑信息化模型）数据融合核心关键技术，能支撑主流BIM（建筑信息化模型）模型软件CATIA（交互式CAD/CAE/CAM系统）、Bentley（用于建筑、工程、基建以及施工的软件）、Revit（建筑、机电管线、结构的软件）等平台，包括大数据可视化管理、地理信息图形化、电子地图切图、地理信息数据分发方面获得国家知识产权局专利；提供4类的得8分，3类的得5分，2类的得2分，其他不得分。</w:t>
            </w:r>
          </w:p>
        </w:tc>
      </w:tr>
      <w:tr>
        <w:tc>
          <w:tcPr>
            <w:tcW w:type="dxa" w:w="922"/>
            <w:gridSpan w:val="2"/>
            <w:vMerge/>
          </w:tcPr>
          <w:p/>
        </w:tc>
        <w:tc>
          <w:tcPr>
            <w:tcW w:type="dxa" w:w="2307"/>
          </w:tcPr>
          <w:p>
            <w:pPr>
              <w:jc w:val="left"/>
            </w:pPr>
            <w:r>
              <w:rPr/>
              <w:t>数据治理综合能力 (4.0分)</w:t>
            </w:r>
            <w:r>
              <w:rPr/>
              <w:t>，（等次分值选择：</w:t>
            </w:r>
            <w:r>
              <w:rPr/>
              <w:t>0.0;</w:t>
            </w:r>
            <w:r>
              <w:rPr/>
              <w:t>1.0;</w:t>
            </w:r>
            <w:r>
              <w:rPr/>
              <w:t>3.0;</w:t>
            </w:r>
            <w:r>
              <w:rPr/>
              <w:t>4.0;</w:t>
            </w:r>
            <w:r>
              <w:rPr/>
              <w:t>）</w:t>
            </w:r>
          </w:p>
        </w:tc>
        <w:tc>
          <w:tcPr>
            <w:tcW w:type="dxa" w:w="5076"/>
          </w:tcPr>
          <w:p>
            <w:pPr>
              <w:jc w:val="left"/>
            </w:pPr>
            <w:r>
              <w:rPr/>
              <w:t>根据投标人提供的相关数据治理综合能力内容由专家进行评审： 为了保障项目服务运营质量和效率，投标人需自带数据治理工具完成数据治理服务，包括数据汇聚、数据融合、数据治理、数据交换、标准规范建设、项目数据资源共享及业务协同等功能。要求提供功能示意图进行说明，功能设计内容完整、详细、切实可行，提供6项功能得4分；4~5项得3分； 2~3项得1分；其他不得分。</w:t>
            </w:r>
          </w:p>
        </w:tc>
      </w:tr>
      <w:tr>
        <w:tc>
          <w:tcPr>
            <w:tcW w:type="dxa" w:w="922"/>
            <w:gridSpan w:val="2"/>
            <w:vMerge/>
          </w:tcPr>
          <w:p/>
        </w:tc>
        <w:tc>
          <w:tcPr>
            <w:tcW w:type="dxa" w:w="2307"/>
          </w:tcPr>
          <w:p>
            <w:pPr>
              <w:jc w:val="left"/>
            </w:pPr>
            <w:r>
              <w:rPr/>
              <w:t>项目实施方案 (10.0分)</w:t>
            </w:r>
            <w:r>
              <w:rPr/>
              <w:t>，（等次分值选择：</w:t>
            </w:r>
            <w:r>
              <w:rPr/>
              <w:t>0.0;</w:t>
            </w:r>
            <w:r>
              <w:rPr/>
              <w:t>6.0;</w:t>
            </w:r>
            <w:r>
              <w:rPr/>
              <w:t>10.0;</w:t>
            </w:r>
            <w:r>
              <w:rPr/>
              <w:t>）</w:t>
            </w:r>
          </w:p>
        </w:tc>
        <w:tc>
          <w:tcPr>
            <w:tcW w:type="dxa" w:w="5076"/>
          </w:tcPr>
          <w:p>
            <w:pPr>
              <w:jc w:val="left"/>
            </w:pPr>
            <w:r>
              <w:rPr/>
              <w:t>根据投标人提供的实施方案情况，从实施方案的可行性、合理性及实施服务内容的响应情况等方面由专家进行综合评审： 内容完整、详细、表述清晰、科学合理、切实可行，得10分； 内容比较完整、详细、表述清晰、比较合理、可行，得6分； 其他或无响应，得0分。</w:t>
            </w:r>
          </w:p>
        </w:tc>
      </w:tr>
      <w:tr>
        <w:tc>
          <w:tcPr>
            <w:tcW w:type="dxa" w:w="922"/>
            <w:gridSpan w:val="2"/>
            <w:vMerge/>
          </w:tcPr>
          <w:p/>
        </w:tc>
        <w:tc>
          <w:tcPr>
            <w:tcW w:type="dxa" w:w="2307"/>
          </w:tcPr>
          <w:p>
            <w:pPr>
              <w:jc w:val="left"/>
            </w:pPr>
            <w:r>
              <w:rPr/>
              <w:t>合理化建议 (5.0分)</w:t>
            </w:r>
            <w:r>
              <w:rPr/>
              <w:t>，（等次分值选择：</w:t>
            </w:r>
            <w:r>
              <w:rPr/>
              <w:t>0.0;</w:t>
            </w:r>
            <w:r>
              <w:rPr/>
              <w:t>1.0;</w:t>
            </w:r>
            <w:r>
              <w:rPr/>
              <w:t>3.0;</w:t>
            </w:r>
            <w:r>
              <w:rPr/>
              <w:t>5.0;</w:t>
            </w:r>
            <w:r>
              <w:rPr/>
              <w:t>）</w:t>
            </w:r>
          </w:p>
        </w:tc>
        <w:tc>
          <w:tcPr>
            <w:tcW w:type="dxa" w:w="5076"/>
          </w:tcPr>
          <w:p>
            <w:pPr>
              <w:jc w:val="left"/>
            </w:pPr>
            <w:r>
              <w:rPr/>
              <w:t>根据投标人提供合理化建议内容由专家进行综合评审： 思路合理化、建议科学合理、可操作性强，得5分； 思路合理化建议基本科学合理、具有可操作性，得3分； 思路合理化建议科学合理性差、可操作性较差，得1分； 无相关内容不得分。</w:t>
            </w:r>
          </w:p>
        </w:tc>
      </w:tr>
      <w:tr>
        <w:tc>
          <w:tcPr>
            <w:tcW w:type="dxa" w:w="922"/>
            <w:gridSpan w:val="2"/>
            <w:vMerge/>
          </w:tcPr>
          <w:p/>
        </w:tc>
        <w:tc>
          <w:tcPr>
            <w:tcW w:type="dxa" w:w="2307"/>
          </w:tcPr>
          <w:p>
            <w:pPr>
              <w:jc w:val="left"/>
            </w:pPr>
            <w:r>
              <w:rPr/>
              <w:t>人员培训需求和计划 (5.0分)</w:t>
            </w:r>
            <w:r>
              <w:rPr/>
              <w:t>，（等次分值选择：</w:t>
            </w:r>
            <w:r>
              <w:rPr/>
              <w:t>0.0;</w:t>
            </w:r>
            <w:r>
              <w:rPr/>
              <w:t>3.0;</w:t>
            </w:r>
            <w:r>
              <w:rPr/>
              <w:t>5.0;</w:t>
            </w:r>
            <w:r>
              <w:rPr/>
              <w:t>）</w:t>
            </w:r>
          </w:p>
        </w:tc>
        <w:tc>
          <w:tcPr>
            <w:tcW w:type="dxa" w:w="5076"/>
          </w:tcPr>
          <w:p>
            <w:pPr>
              <w:jc w:val="left"/>
            </w:pPr>
            <w:r>
              <w:rPr/>
              <w:t>根据投标人提供的人员培训需求和计划的响应情况进行评审。内容完整、详细、表述清晰、科学合理、切实可行，得5分；内容比较完整、详细、表述清晰、比较合理、可行，得3分；其他或无响应，得0分。</w:t>
            </w:r>
          </w:p>
        </w:tc>
      </w:tr>
      <w:tr>
        <w:tc>
          <w:tcPr>
            <w:tcW w:type="dxa" w:w="922"/>
            <w:gridSpan w:val="2"/>
            <w:vMerge/>
          </w:tcPr>
          <w:p/>
        </w:tc>
        <w:tc>
          <w:tcPr>
            <w:tcW w:type="dxa" w:w="2307"/>
          </w:tcPr>
          <w:p>
            <w:pPr>
              <w:jc w:val="left"/>
            </w:pPr>
            <w:r>
              <w:rPr/>
              <w:t>售后服务方案 (5.0分)</w:t>
            </w:r>
            <w:r>
              <w:rPr/>
              <w:t>，（等次分值选择：</w:t>
            </w:r>
            <w:r>
              <w:rPr/>
              <w:t>0.0;</w:t>
            </w:r>
            <w:r>
              <w:rPr/>
              <w:t>3.0;</w:t>
            </w:r>
            <w:r>
              <w:rPr/>
              <w:t>5.0;</w:t>
            </w:r>
            <w:r>
              <w:rPr/>
              <w:t>）</w:t>
            </w:r>
          </w:p>
        </w:tc>
        <w:tc>
          <w:tcPr>
            <w:tcW w:type="dxa" w:w="5076"/>
          </w:tcPr>
          <w:p>
            <w:pPr>
              <w:jc w:val="left"/>
            </w:pPr>
            <w:r>
              <w:rPr/>
              <w:t>根据投标人提供的售后运行维护能力及维护服务的响应情况进行评审。内容完整、详细、表述清晰、科学合理、切实可行，得5分；内容比较完整、详细、表述清晰、比较合理、可行，得3分；其他或无响应，得0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投标人在2020年以来具有智慧城市相关项目服务经验，每个案例得1分，最高得5分 （须提供合同的复印件，以合同签订时间为准，没有不得分）</w:t>
            </w:r>
          </w:p>
        </w:tc>
      </w:tr>
      <w:tr>
        <w:tc>
          <w:tcPr>
            <w:tcW w:type="dxa" w:w="922"/>
            <w:gridSpan w:val="2"/>
            <w:vMerge/>
          </w:tcPr>
          <w:p/>
        </w:tc>
        <w:tc>
          <w:tcPr>
            <w:tcW w:type="dxa" w:w="2307"/>
          </w:tcPr>
          <w:p>
            <w:pPr>
              <w:jc w:val="left"/>
            </w:pPr>
            <w:r>
              <w:rPr/>
              <w:t>企业综合实力 (10.0分)</w:t>
            </w:r>
          </w:p>
        </w:tc>
        <w:tc>
          <w:tcPr>
            <w:tcW w:type="dxa" w:w="5076"/>
          </w:tcPr>
          <w:p>
            <w:pPr>
              <w:jc w:val="left"/>
            </w:pPr>
            <w:r>
              <w:rPr/>
              <w:t>具有完备的管理体系，投标人具有（1）CMMI5认证，（2）ISO9001（质量管理体系认证），（3）ISO27001（信息安全管理体系认证），（4）ISO20000（信息技术服务管理体系认证），（5）ISO14001（环境管理体系认证）；满足5项得10分，满足4~3项得6分，满足2项得3分，其他不得分。</w:t>
            </w:r>
          </w:p>
        </w:tc>
      </w:tr>
      <w:tr>
        <w:tc>
          <w:tcPr>
            <w:tcW w:type="dxa" w:w="922"/>
            <w:gridSpan w:val="2"/>
            <w:vMerge/>
          </w:tcPr>
          <w:p/>
        </w:tc>
        <w:tc>
          <w:tcPr>
            <w:tcW w:type="dxa" w:w="2307"/>
          </w:tcPr>
          <w:p>
            <w:pPr>
              <w:jc w:val="left"/>
            </w:pPr>
            <w:r>
              <w:rPr/>
              <w:t>企业获奖情况 (5.0分)</w:t>
            </w:r>
          </w:p>
        </w:tc>
        <w:tc>
          <w:tcPr>
            <w:tcW w:type="dxa" w:w="5076"/>
          </w:tcPr>
          <w:p>
            <w:pPr>
              <w:jc w:val="left"/>
            </w:pPr>
            <w:r>
              <w:rPr/>
              <w:t>投标人所承担智慧城市相关项目获得过地理信息科技进步奖一等奖及二等奖的得5分； 投标人所承担智慧城市相关项目获得过地理信息科技进步奖一等奖或二等奖的得2分； 无相关奖项的不得分。 （注：须提供相关证明材料复印件加盖投标人公章）</w:t>
            </w:r>
          </w:p>
        </w:tc>
      </w:tr>
      <w:tr>
        <w:tc>
          <w:tcPr>
            <w:tcW w:type="dxa" w:w="922"/>
            <w:gridSpan w:val="2"/>
            <w:vMerge/>
          </w:tcPr>
          <w:p/>
        </w:tc>
        <w:tc>
          <w:tcPr>
            <w:tcW w:type="dxa" w:w="2307"/>
          </w:tcPr>
          <w:p>
            <w:pPr>
              <w:jc w:val="left"/>
            </w:pPr>
            <w:r>
              <w:rPr/>
              <w:t>拟派本项目成员情况 (10.0分)</w:t>
            </w:r>
          </w:p>
        </w:tc>
        <w:tc>
          <w:tcPr>
            <w:tcW w:type="dxa" w:w="5076"/>
          </w:tcPr>
          <w:p>
            <w:pPr>
              <w:jc w:val="left"/>
            </w:pPr>
            <w:r>
              <w:rPr/>
              <w:t>拟派项目总负责人 投标人拟派项目总负责人具有高级项目经理、测绘高级工程师证书且所参与项目获得地理信息金奖的得3分； 投标人拟派项目总负责人具有高级项目经理、测绘高级工程师证书的得1.5分； 其他不得分。 拟派项目技术负责人 投标人拟派项目技术负责人具有高级软件工程师、高级数据库管理工程师、计算机软件开发工程师证书的得2分； 投标人拟派项目技术负责人具有高级软件工程师、高级数据库管理工程师证书的得1分 其他不得分。 拟派项目成员（除项目负责人及技术负责人） 投标人拟派项目成员具有测绘高级工程师、测绘地理信息工程高级工程师、注册测绘师、高级信息系统项目管理师、高级系统架构设计师、计算机软件高级程序员证书的得5分（同一人只计一个证书）； 投标人拟派项目成员具有测绘高级工程师、测绘地理信息工程高级工程师、注册测绘师、高级信息系统项目管理师、高级系统架构设计师、计算机软件高级程序员证书中4~5类的得3分（同一人只计一个证书）； 投标人拟派项目成员具有测绘高级工程师、测绘地理信息工程高级工程师、注册测绘师、高级信息系统项目管理师、高级系统架构设计师、计算机软件高级程序员证书中2~3类的得1分（同一人只计一个证书）； 其他不得分。 （注：须提供相关证明材料复印件及近半年连续3个月社保缴纳证明加盖投标人公章）</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color w:val="000000"/>
          <w:sz w:val="30"/>
        </w:rPr>
        <w:t>合同书</w:t>
      </w:r>
    </w:p>
    <w:p>
      <w:pPr>
        <w:ind w:firstLine="883"/>
        <w:jc w:val="both"/>
      </w:pPr>
    </w:p>
    <w:p>
      <w:pPr>
        <w:ind w:firstLine="480"/>
        <w:jc w:val="both"/>
      </w:pPr>
    </w:p>
    <w:p>
      <w:pPr>
        <w:ind w:firstLine="482"/>
        <w:jc w:val="center"/>
      </w:pPr>
      <w:r>
        <w:rPr>
          <w:b/>
          <w:color w:val="000000"/>
          <w:sz w:val="24"/>
          <w:u w:val="single"/>
        </w:rPr>
        <w:t>（注：本合同样本仅供参考，具体内容由买、卖方双方协商确定。）</w:t>
      </w:r>
    </w:p>
    <w:p>
      <w:pPr>
        <w:ind w:firstLine="480"/>
        <w:jc w:val="both"/>
      </w:pPr>
    </w:p>
    <w:p>
      <w:pPr>
        <w:ind w:firstLine="480"/>
        <w:jc w:val="both"/>
      </w:pPr>
    </w:p>
    <w:p>
      <w:pPr>
        <w:ind w:firstLine="480"/>
        <w:jc w:val="both"/>
      </w:pPr>
    </w:p>
    <w:p>
      <w:pPr>
        <w:ind w:firstLine="480"/>
        <w:jc w:val="both"/>
      </w:pPr>
    </w:p>
    <w:p>
      <w:pPr>
        <w:jc w:val="center"/>
      </w:pPr>
      <w:r>
        <w:rPr>
          <w:b/>
          <w:sz w:val="52"/>
        </w:rPr>
        <w:t>明珠湾起步区智慧城市数据治理</w:t>
      </w:r>
    </w:p>
    <w:p>
      <w:pPr>
        <w:jc w:val="center"/>
      </w:pPr>
      <w:r>
        <w:rPr>
          <w:b/>
          <w:sz w:val="52"/>
        </w:rPr>
        <w:t>服务项目</w:t>
      </w:r>
    </w:p>
    <w:p>
      <w:pPr>
        <w:ind w:firstLine="480"/>
        <w:jc w:val="both"/>
      </w:pPr>
    </w:p>
    <w:p>
      <w:pPr>
        <w:ind w:firstLine="194"/>
        <w:jc w:val="center"/>
      </w:pPr>
      <w:r>
        <w:rPr>
          <w:sz w:val="72"/>
        </w:rPr>
        <w:t>合</w:t>
      </w:r>
      <w:r>
        <w:rPr>
          <w:sz w:val="72"/>
        </w:rPr>
        <w:t>同</w:t>
      </w:r>
      <w:r>
        <w:rPr>
          <w:sz w:val="72"/>
        </w:rPr>
        <w:t>书</w:t>
      </w:r>
    </w:p>
    <w:p>
      <w:pPr>
        <w:ind w:firstLine="480"/>
        <w:jc w:val="both"/>
      </w:pPr>
    </w:p>
    <w:p>
      <w:pPr>
        <w:ind w:firstLine="560"/>
        <w:jc w:val="both"/>
      </w:pPr>
    </w:p>
    <w:p>
      <w:pPr>
        <w:ind w:firstLine="560"/>
        <w:jc w:val="left"/>
      </w:pPr>
    </w:p>
    <w:p>
      <w:pPr>
        <w:ind w:firstLine="560"/>
        <w:jc w:val="left"/>
      </w:pPr>
    </w:p>
    <w:p>
      <w:pPr>
        <w:ind w:firstLine="560"/>
        <w:jc w:val="left"/>
      </w:pPr>
    </w:p>
    <w:p>
      <w:pPr>
        <w:ind w:firstLine="560"/>
        <w:jc w:val="left"/>
      </w:pPr>
    </w:p>
    <w:p>
      <w:pPr>
        <w:ind w:firstLine="560"/>
        <w:jc w:val="both"/>
      </w:pPr>
      <w:r>
        <w:rPr>
          <w:sz w:val="28"/>
        </w:rPr>
        <w:t>项目名称：</w:t>
      </w:r>
      <w:r>
        <w:rPr>
          <w:sz w:val="28"/>
          <w:u w:val="single"/>
        </w:rPr>
        <w:t>明珠湾起步区智慧城市数据治理服务项目</w:t>
      </w:r>
    </w:p>
    <w:p>
      <w:pPr>
        <w:ind w:firstLine="560"/>
        <w:jc w:val="both"/>
      </w:pPr>
      <w:r>
        <w:rPr>
          <w:sz w:val="28"/>
        </w:rPr>
        <w:t>项目地点：</w:t>
      </w:r>
    </w:p>
    <w:p>
      <w:pPr>
        <w:ind w:firstLine="560"/>
        <w:jc w:val="both"/>
      </w:pPr>
      <w:r>
        <w:rPr>
          <w:sz w:val="28"/>
        </w:rPr>
        <w:t>甲</w:t>
      </w:r>
      <w:r>
        <w:rPr>
          <w:sz w:val="28"/>
        </w:rPr>
        <w:t xml:space="preserve">   </w:t>
      </w:r>
      <w:r>
        <w:rPr>
          <w:sz w:val="28"/>
        </w:rPr>
        <w:t>方：</w:t>
      </w:r>
      <w:r>
        <w:rPr>
          <w:sz w:val="28"/>
          <w:u w:val="single"/>
        </w:rPr>
        <w:t>广州市南沙新区明珠湾开发建设管理局</w:t>
      </w:r>
      <w:r>
        <w:rPr>
          <w:sz w:val="28"/>
          <w:u w:val="single"/>
        </w:rPr>
        <w:t xml:space="preserve">  </w:t>
      </w:r>
      <w:r>
        <w:rPr>
          <w:sz w:val="28"/>
        </w:rPr>
        <w:t>（招标人）</w:t>
      </w:r>
    </w:p>
    <w:p>
      <w:pPr>
        <w:ind w:firstLine="560"/>
        <w:jc w:val="both"/>
      </w:pPr>
      <w:r>
        <w:rPr>
          <w:sz w:val="28"/>
        </w:rPr>
        <w:t>乙</w:t>
      </w:r>
      <w:r>
        <w:rPr>
          <w:sz w:val="28"/>
        </w:rPr>
        <w:t xml:space="preserve">   </w:t>
      </w:r>
      <w:r>
        <w:rPr>
          <w:sz w:val="28"/>
        </w:rPr>
        <w:t>方：</w:t>
      </w:r>
      <w:r>
        <w:rPr>
          <w:sz w:val="24"/>
          <w:u w:val="single"/>
        </w:rPr>
        <w:t xml:space="preserve">                               </w:t>
      </w:r>
      <w:r>
        <w:rPr>
          <w:sz w:val="28"/>
        </w:rPr>
        <w:t>（中标人）</w:t>
      </w:r>
    </w:p>
    <w:p>
      <w:pPr>
        <w:ind w:firstLine="560"/>
        <w:jc w:val="right"/>
      </w:pPr>
    </w:p>
    <w:p>
      <w:pPr>
        <w:ind w:firstLine="560"/>
        <w:jc w:val="left"/>
      </w:pPr>
    </w:p>
    <w:p>
      <w:pPr>
        <w:ind w:firstLine="560"/>
        <w:jc w:val="left"/>
      </w:pPr>
    </w:p>
    <w:p>
      <w:pPr>
        <w:jc w:val="both"/>
      </w:pPr>
    </w:p>
    <w:p>
      <w:pPr>
        <w:ind w:firstLine="560"/>
        <w:jc w:val="right"/>
      </w:pPr>
    </w:p>
    <w:p>
      <w:pPr>
        <w:ind w:firstLine="560"/>
        <w:jc w:val="right"/>
      </w:pPr>
    </w:p>
    <w:p>
      <w:pPr>
        <w:ind w:firstLine="560"/>
        <w:jc w:val="right"/>
      </w:pPr>
    </w:p>
    <w:p>
      <w:pPr>
        <w:ind w:firstLine="560"/>
        <w:jc w:val="right"/>
      </w:pPr>
    </w:p>
    <w:p>
      <w:pPr>
        <w:ind w:firstLine="560"/>
        <w:jc w:val="right"/>
      </w:pPr>
    </w:p>
    <w:p>
      <w:pPr>
        <w:ind w:firstLine="560"/>
        <w:jc w:val="right"/>
      </w:pPr>
    </w:p>
    <w:p>
      <w:pPr>
        <w:ind w:firstLine="560"/>
        <w:jc w:val="right"/>
      </w:pPr>
      <w:r>
        <w:rPr>
          <w:sz w:val="28"/>
        </w:rPr>
        <w:t>签订日期：</w:t>
      </w:r>
      <w:r>
        <w:rPr>
          <w:sz w:val="28"/>
          <w:u w:val="single"/>
        </w:rPr>
        <w:t xml:space="preserve">    </w:t>
      </w:r>
      <w:r>
        <w:rPr>
          <w:sz w:val="28"/>
          <w:u w:val="single"/>
        </w:rPr>
        <w:t>年</w:t>
      </w:r>
      <w:r>
        <w:rPr>
          <w:sz w:val="28"/>
          <w:u w:val="single"/>
        </w:rPr>
        <w:t xml:space="preserve">   </w:t>
      </w:r>
      <w:r>
        <w:rPr>
          <w:sz w:val="28"/>
          <w:u w:val="single"/>
        </w:rPr>
        <w:t>月</w:t>
      </w:r>
    </w:p>
    <w:p>
      <w:pPr>
        <w:ind w:firstLine="560"/>
        <w:jc w:val="right"/>
      </w:pPr>
      <w:r>
        <w:rPr>
          <w:sz w:val="28"/>
          <w:u w:val="single"/>
        </w:rPr>
        <w:t>签订地点：广州市南沙区</w:t>
      </w:r>
    </w:p>
    <w:p>
      <w:pPr>
        <w:jc w:val="both"/>
      </w:pPr>
      <w:r>
        <w:rPr>
          <w:sz w:val="24"/>
        </w:rPr>
        <w:t>甲方（采购人）：</w:t>
      </w:r>
    </w:p>
    <w:p>
      <w:pPr>
        <w:jc w:val="both"/>
      </w:pPr>
      <w:r>
        <w:rPr>
          <w:sz w:val="24"/>
        </w:rPr>
        <w:t>乙方（中标人）：</w:t>
      </w:r>
    </w:p>
    <w:p>
      <w:pPr>
        <w:ind w:firstLine="480"/>
        <w:jc w:val="both"/>
      </w:pPr>
      <w:r>
        <w:rPr>
          <w:sz w:val="24"/>
        </w:rPr>
        <w:t>甲、乙双方根据</w:t>
      </w:r>
      <w:r>
        <w:rPr>
          <w:sz w:val="24"/>
          <w:u w:val="single"/>
        </w:rPr>
        <w:t>珠湾起步区智慧城市数据治理服务项目</w:t>
      </w:r>
      <w:r>
        <w:rPr>
          <w:sz w:val="24"/>
          <w:u w:val="single"/>
        </w:rPr>
        <w:t>(以下简称本项目)</w:t>
      </w:r>
      <w:r>
        <w:rPr>
          <w:sz w:val="24"/>
        </w:rPr>
        <w:t>的采购结果，甲方同意接受乙方为本项目采购所做的投标文件，乙方必须完全按中标通知书和本合同条款履行义务。按照《中华人民共和国政府采购法》，《中华人民共和国民法典（合同编）》的规定，经双方协商，本着平等互利和诚实守信的原则，一致同意签署本合同。</w:t>
      </w:r>
    </w:p>
    <w:p>
      <w:pPr>
        <w:ind w:firstLine="480"/>
        <w:jc w:val="both"/>
      </w:pPr>
      <w:r>
        <w:rPr>
          <w:b/>
          <w:sz w:val="24"/>
        </w:rPr>
        <w:t>一、合同文件</w:t>
      </w:r>
    </w:p>
    <w:p>
      <w:pPr>
        <w:ind w:firstLine="480"/>
        <w:jc w:val="both"/>
      </w:pPr>
      <w:r>
        <w:rPr>
          <w:sz w:val="24"/>
        </w:rPr>
        <w:t>1.本合同；</w:t>
      </w:r>
    </w:p>
    <w:p>
      <w:pPr>
        <w:ind w:firstLine="480"/>
        <w:jc w:val="both"/>
      </w:pPr>
      <w:r>
        <w:rPr>
          <w:sz w:val="24"/>
        </w:rPr>
        <w:t>2.中标通知书；</w:t>
      </w:r>
    </w:p>
    <w:p>
      <w:pPr>
        <w:ind w:firstLine="480"/>
        <w:jc w:val="both"/>
      </w:pPr>
      <w:r>
        <w:rPr>
          <w:sz w:val="24"/>
        </w:rPr>
        <w:t>3.技术标准和要求（合同技术条款）；</w:t>
      </w:r>
    </w:p>
    <w:p>
      <w:pPr>
        <w:ind w:firstLine="480"/>
        <w:jc w:val="both"/>
      </w:pPr>
      <w:r>
        <w:rPr>
          <w:sz w:val="24"/>
        </w:rPr>
        <w:t>4.变更补充文件；</w:t>
      </w:r>
    </w:p>
    <w:p>
      <w:pPr>
        <w:ind w:firstLine="480"/>
        <w:jc w:val="both"/>
      </w:pPr>
      <w:r>
        <w:rPr>
          <w:sz w:val="24"/>
        </w:rPr>
        <w:t>5.招标文件（采购人需求）；</w:t>
      </w:r>
    </w:p>
    <w:p>
      <w:pPr>
        <w:ind w:firstLine="480"/>
        <w:jc w:val="both"/>
      </w:pPr>
      <w:r>
        <w:rPr>
          <w:sz w:val="24"/>
        </w:rPr>
        <w:t>6.其它。</w:t>
      </w:r>
    </w:p>
    <w:p>
      <w:pPr>
        <w:ind w:firstLine="480"/>
        <w:jc w:val="both"/>
      </w:pPr>
      <w:r>
        <w:rPr>
          <w:sz w:val="24"/>
        </w:rPr>
        <w:t>上述所指合同文件应认为是互相补充和解释的，若有互相矛盾之处，以其所列内容先后顺序为准。</w:t>
      </w:r>
    </w:p>
    <w:p>
      <w:pPr>
        <w:ind w:firstLine="480"/>
        <w:jc w:val="both"/>
      </w:pPr>
      <w:r>
        <w:rPr>
          <w:b/>
          <w:sz w:val="24"/>
        </w:rPr>
        <w:t>二、服务内容及合同总额</w:t>
      </w:r>
    </w:p>
    <w:p>
      <w:pPr>
        <w:jc w:val="both"/>
      </w:pPr>
      <w:r>
        <w:rPr>
          <w:sz w:val="24"/>
        </w:rPr>
        <w:t xml:space="preserve">    </w:t>
      </w:r>
      <w:r>
        <w:rPr>
          <w:sz w:val="24"/>
        </w:rPr>
        <w:t>1.服务内容</w:t>
      </w:r>
    </w:p>
    <w:p>
      <w:pPr>
        <w:ind w:firstLine="480"/>
        <w:jc w:val="both"/>
      </w:pPr>
      <w:r>
        <w:rPr>
          <w:sz w:val="24"/>
        </w:rPr>
        <w:t>详见用户需求书</w:t>
      </w:r>
    </w:p>
    <w:p>
      <w:pPr>
        <w:ind w:firstLine="480"/>
        <w:jc w:val="both"/>
      </w:pPr>
      <w:r>
        <w:rPr>
          <w:sz w:val="24"/>
        </w:rPr>
        <w:t>2.合同总额</w:t>
      </w:r>
    </w:p>
    <w:p>
      <w:pPr>
        <w:jc w:val="both"/>
      </w:pPr>
      <w:r>
        <w:rPr>
          <w:sz w:val="24"/>
        </w:rPr>
        <w:t xml:space="preserve">    </w:t>
      </w:r>
      <w:r>
        <w:rPr>
          <w:sz w:val="24"/>
        </w:rPr>
        <w:t>合计合同总额（含税金）：</w:t>
      </w:r>
      <w:r>
        <w:rPr>
          <w:sz w:val="24"/>
          <w:u w:val="single"/>
        </w:rPr>
        <w:t>￥</w:t>
      </w:r>
      <w:r>
        <w:rPr>
          <w:sz w:val="24"/>
          <w:u w:val="single"/>
        </w:rPr>
        <w:t xml:space="preserve">      </w:t>
      </w:r>
      <w:r>
        <w:rPr>
          <w:sz w:val="24"/>
          <w:u w:val="single"/>
        </w:rPr>
        <w:t>元；</w:t>
      </w:r>
      <w:r>
        <w:rPr>
          <w:sz w:val="24"/>
        </w:rPr>
        <w:t xml:space="preserve">    </w:t>
      </w:r>
      <w:r>
        <w:rPr>
          <w:sz w:val="24"/>
        </w:rPr>
        <w:t>大写：</w:t>
      </w:r>
      <w:r>
        <w:rPr>
          <w:sz w:val="24"/>
          <w:u w:val="single"/>
        </w:rPr>
        <w:t xml:space="preserve">       </w:t>
      </w:r>
      <w:r>
        <w:rPr>
          <w:sz w:val="24"/>
          <w:u w:val="single"/>
        </w:rPr>
        <w:t>元</w:t>
      </w:r>
    </w:p>
    <w:p>
      <w:pPr>
        <w:jc w:val="both"/>
      </w:pPr>
      <w:r>
        <w:rPr>
          <w:sz w:val="24"/>
        </w:rPr>
        <w:t xml:space="preserve">    </w:t>
      </w:r>
      <w:r>
        <w:rPr>
          <w:sz w:val="24"/>
        </w:rPr>
        <w:t>包括服务采购清单所有费用、乙方承担各项税费以及其他因本项目而产生的一切费用，包括合同实施过程中不可预见费用等。甲方无须向乙方另外支付任何费用。</w:t>
      </w:r>
    </w:p>
    <w:p>
      <w:pPr>
        <w:ind w:firstLine="480"/>
        <w:jc w:val="both"/>
      </w:pPr>
      <w:r>
        <w:rPr>
          <w:sz w:val="24"/>
        </w:rPr>
        <w:t>3.服务名称内容必须与投标文件中服务名称内容一致。</w:t>
      </w:r>
    </w:p>
    <w:p>
      <w:pPr>
        <w:ind w:firstLine="480"/>
        <w:jc w:val="both"/>
      </w:pPr>
      <w:r>
        <w:rPr>
          <w:b/>
          <w:sz w:val="24"/>
        </w:rPr>
        <w:t>三、甲方乙方的权利和义务</w:t>
      </w:r>
    </w:p>
    <w:p>
      <w:pPr>
        <w:ind w:firstLine="480"/>
        <w:jc w:val="both"/>
      </w:pPr>
      <w:r>
        <w:rPr>
          <w:sz w:val="24"/>
        </w:rPr>
        <w:t>1.甲方的权利和义务</w:t>
      </w:r>
    </w:p>
    <w:p>
      <w:pPr>
        <w:ind w:firstLine="480"/>
        <w:jc w:val="both"/>
      </w:pPr>
      <w:r>
        <w:rPr>
          <w:sz w:val="24"/>
        </w:rPr>
        <w:t>2.乙方的权利和义务</w:t>
      </w:r>
    </w:p>
    <w:p>
      <w:pPr>
        <w:ind w:firstLine="480"/>
        <w:jc w:val="both"/>
      </w:pPr>
      <w:r>
        <w:rPr>
          <w:sz w:val="24"/>
        </w:rPr>
        <w:t>3</w:t>
      </w:r>
      <w:r>
        <w:rPr>
          <w:sz w:val="24"/>
        </w:rPr>
        <w:t>.</w:t>
      </w:r>
      <w:r>
        <w:rPr>
          <w:sz w:val="24"/>
        </w:rPr>
        <w:t>项目实施人员要求</w:t>
      </w:r>
    </w:p>
    <w:p>
      <w:pPr>
        <w:ind w:firstLine="480"/>
        <w:jc w:val="both"/>
      </w:pPr>
      <w:r>
        <w:rPr>
          <w:sz w:val="24"/>
        </w:rPr>
        <w:t>服务提供商应承诺为本项目成立服务项目组，项目组服务成员不少于</w:t>
      </w:r>
      <w:r>
        <w:rPr>
          <w:sz w:val="24"/>
        </w:rPr>
        <w:t>1</w:t>
      </w:r>
      <w:r>
        <w:rPr>
          <w:sz w:val="24"/>
        </w:rPr>
        <w:t>1</w:t>
      </w:r>
      <w:r>
        <w:rPr>
          <w:sz w:val="24"/>
        </w:rPr>
        <w:t>人，其中</w:t>
      </w:r>
      <w:r>
        <w:rPr>
          <w:sz w:val="24"/>
        </w:rPr>
        <w:t>项目总负责人、项目技术负责人、</w:t>
      </w:r>
      <w:r>
        <w:rPr>
          <w:sz w:val="24"/>
        </w:rPr>
        <w:t>项目经理</w:t>
      </w:r>
      <w:r>
        <w:rPr>
          <w:sz w:val="24"/>
        </w:rPr>
        <w:t>各</w:t>
      </w:r>
      <w:r>
        <w:rPr>
          <w:sz w:val="24"/>
        </w:rPr>
        <w:t>1人，项目服务人员最少</w:t>
      </w:r>
      <w:r>
        <w:rPr>
          <w:sz w:val="24"/>
        </w:rPr>
        <w:t>8</w:t>
      </w:r>
      <w:r>
        <w:rPr>
          <w:sz w:val="24"/>
        </w:rPr>
        <w:t>人；需要配置至少</w:t>
      </w:r>
      <w:r>
        <w:rPr>
          <w:sz w:val="24"/>
        </w:rPr>
        <w:t>6</w:t>
      </w:r>
      <w:r>
        <w:rPr>
          <w:sz w:val="24"/>
        </w:rPr>
        <w:t>名实施方人员常驻项目现场，驻场人员必须具备同类项目</w:t>
      </w:r>
      <w:r>
        <w:rPr>
          <w:sz w:val="24"/>
        </w:rPr>
        <w:t>2年以上的工作经验；驻场人员的更换需要提前上报广州市南沙新区明珠湾开发建设管理局，书面提交人员更换的申请，并提供更换人员的简历及相关资质证明材料，在征得广州市南沙新区明珠湾开发建设管理局同意之后方可变更驻场人员，如遇到定期巡检以及重大保障时，需按明珠湾管理局相关需求派遣中级或以上工程师驻点现场，高级工程师负责技术指导以及重大故障保障；项目组协助明珠湾管理局不断改进服务管理水平，组织、管理本项目所有运行服务工作。</w:t>
      </w:r>
    </w:p>
    <w:tbl>
      <w:tblPr>
        <w:tblW w:w="0" w:type="auto"/>
        <w:tblBorders>
          <w:top w:val="none" w:color="000000" w:sz="4"/>
          <w:left w:val="none" w:color="000000" w:sz="4"/>
          <w:bottom w:val="none" w:color="000000" w:sz="4"/>
          <w:right w:val="none" w:color="000000" w:sz="4"/>
          <w:insideH w:val="none"/>
          <w:insideV w:val="none"/>
        </w:tblBorders>
      </w:tblPr>
      <w:tblGrid>
        <w:gridCol w:w="375"/>
        <w:gridCol w:w="510"/>
        <w:gridCol w:w="540"/>
        <w:gridCol w:w="660"/>
        <w:gridCol w:w="1755"/>
        <w:gridCol w:w="2520"/>
        <w:gridCol w:w="615"/>
        <w:gridCol w:w="615"/>
      </w:tblGrid>
      <w:tr>
        <w:tc>
          <w:tcPr>
            <w:tcW w:type="dxa" w:w="375"/>
            <w:tcBorders>
              <w:top w:val="single" w:color="000000" w:sz="4"/>
              <w:left w:val="single" w:color="000000" w:sz="4"/>
              <w:bottom w:val="single" w:color="000000" w:sz="4"/>
              <w:right w:val="single" w:color="000000" w:sz="4"/>
            </w:tcBorders>
            <w:shd w:fill="BFBFBF"/>
            <w:vAlign w:val="top"/>
          </w:tcPr>
          <w:p>
            <w:pPr>
              <w:jc w:val="center"/>
            </w:pPr>
            <w:r>
              <w:rPr>
                <w:color w:val="000000"/>
                <w:sz w:val="24"/>
              </w:rPr>
              <w:t>序号</w:t>
            </w:r>
          </w:p>
        </w:tc>
        <w:tc>
          <w:tcPr>
            <w:tcW w:type="dxa" w:w="510"/>
            <w:tcBorders>
              <w:top w:val="single" w:color="000000" w:sz="4"/>
              <w:left w:val="none" w:color="000000" w:sz="4"/>
              <w:bottom w:val="single" w:color="000000" w:sz="4"/>
              <w:right w:val="single" w:color="000000" w:sz="4"/>
            </w:tcBorders>
            <w:shd w:fill="BFBFBF"/>
            <w:vAlign w:val="top"/>
          </w:tcPr>
          <w:p>
            <w:pPr>
              <w:jc w:val="center"/>
            </w:pPr>
            <w:r>
              <w:rPr>
                <w:color w:val="000000"/>
                <w:sz w:val="24"/>
              </w:rPr>
              <w:t>子项目</w:t>
            </w:r>
          </w:p>
        </w:tc>
        <w:tc>
          <w:tcPr>
            <w:tcW w:type="dxa" w:w="540"/>
            <w:tcBorders>
              <w:top w:val="single" w:color="000000" w:sz="4"/>
              <w:left w:val="none" w:color="000000" w:sz="4"/>
              <w:bottom w:val="single" w:color="000000" w:sz="4"/>
              <w:right w:val="single" w:color="000000" w:sz="4"/>
            </w:tcBorders>
            <w:shd w:fill="BFBFBF"/>
            <w:vAlign w:val="top"/>
          </w:tcPr>
          <w:p>
            <w:pPr>
              <w:jc w:val="center"/>
            </w:pPr>
            <w:r>
              <w:rPr>
                <w:color w:val="000000"/>
                <w:sz w:val="24"/>
              </w:rPr>
              <w:t>项目阶段</w:t>
            </w:r>
          </w:p>
        </w:tc>
        <w:tc>
          <w:tcPr>
            <w:tcW w:type="dxa" w:w="660"/>
            <w:tcBorders>
              <w:top w:val="single" w:color="000000" w:sz="4"/>
              <w:left w:val="none" w:color="000000" w:sz="4"/>
              <w:bottom w:val="single" w:color="000000" w:sz="4"/>
              <w:right w:val="single" w:color="000000" w:sz="4"/>
            </w:tcBorders>
            <w:shd w:fill="BFBFBF"/>
            <w:vAlign w:val="top"/>
          </w:tcPr>
          <w:p>
            <w:pPr>
              <w:jc w:val="center"/>
            </w:pPr>
            <w:r>
              <w:rPr>
                <w:color w:val="000000"/>
                <w:sz w:val="24"/>
              </w:rPr>
              <w:t>岗位角色</w:t>
            </w:r>
          </w:p>
        </w:tc>
        <w:tc>
          <w:tcPr>
            <w:tcW w:type="dxa" w:w="1755"/>
            <w:tcBorders>
              <w:top w:val="single" w:color="000000" w:sz="4"/>
              <w:left w:val="none" w:color="000000" w:sz="4"/>
              <w:bottom w:val="single" w:color="000000" w:sz="4"/>
              <w:right w:val="single" w:color="000000" w:sz="4"/>
            </w:tcBorders>
            <w:shd w:fill="BFBFBF"/>
            <w:vAlign w:val="top"/>
          </w:tcPr>
          <w:p>
            <w:pPr>
              <w:jc w:val="center"/>
            </w:pPr>
            <w:r>
              <w:rPr>
                <w:b/>
                <w:color w:val="0D0D0D"/>
                <w:sz w:val="24"/>
              </w:rPr>
              <w:t>技术人员要求</w:t>
            </w:r>
          </w:p>
        </w:tc>
        <w:tc>
          <w:tcPr>
            <w:tcW w:type="dxa" w:w="2520"/>
            <w:tcBorders>
              <w:top w:val="single" w:color="000000" w:sz="4"/>
              <w:left w:val="none" w:color="000000" w:sz="4"/>
              <w:bottom w:val="single" w:color="000000" w:sz="4"/>
              <w:right w:val="single" w:color="000000" w:sz="4"/>
            </w:tcBorders>
            <w:shd w:fill="BFBFBF"/>
            <w:vAlign w:val="top"/>
          </w:tcPr>
          <w:p>
            <w:pPr>
              <w:jc w:val="center"/>
            </w:pPr>
            <w:r>
              <w:rPr>
                <w:color w:val="000000"/>
                <w:sz w:val="24"/>
              </w:rPr>
              <w:t>主要职责</w:t>
            </w:r>
          </w:p>
        </w:tc>
        <w:tc>
          <w:tcPr>
            <w:tcW w:type="dxa" w:w="615"/>
            <w:tcBorders>
              <w:top w:val="single" w:color="000000" w:sz="4"/>
              <w:left w:val="none" w:color="000000" w:sz="4"/>
              <w:bottom w:val="single" w:color="000000" w:sz="4"/>
              <w:right w:val="single" w:color="000000" w:sz="4"/>
            </w:tcBorders>
            <w:shd w:fill="BFBFBF"/>
            <w:vAlign w:val="top"/>
          </w:tcPr>
          <w:p>
            <w:pPr>
              <w:jc w:val="center"/>
            </w:pPr>
            <w:r>
              <w:rPr>
                <w:color w:val="000000"/>
                <w:sz w:val="24"/>
              </w:rPr>
              <w:t>需要人数</w:t>
            </w:r>
          </w:p>
        </w:tc>
        <w:tc>
          <w:tcPr>
            <w:tcW w:type="dxa" w:w="615"/>
            <w:tcBorders>
              <w:top w:val="single" w:color="000000" w:sz="4"/>
              <w:left w:val="none" w:color="000000" w:sz="4"/>
              <w:bottom w:val="single" w:color="000000" w:sz="4"/>
              <w:right w:val="single" w:color="000000" w:sz="4"/>
            </w:tcBorders>
            <w:shd w:fill="BFBFBF"/>
            <w:vAlign w:val="top"/>
          </w:tcPr>
          <w:p>
            <w:pPr>
              <w:jc w:val="center"/>
            </w:pPr>
            <w:r>
              <w:rPr>
                <w:color w:val="000000"/>
                <w:sz w:val="24"/>
              </w:rPr>
              <w:t>备注</w:t>
            </w:r>
          </w:p>
        </w:tc>
      </w:tr>
      <w:tr>
        <w:tc>
          <w:tcPr>
            <w:tcW w:type="dxa" w:w="375"/>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510"/>
            <w:vMerge w:val="restart"/>
            <w:tcBorders>
              <w:top w:val="none" w:color="000000" w:sz="4"/>
              <w:left w:val="none" w:color="000000" w:sz="4"/>
              <w:bottom w:val="single" w:color="000000" w:sz="4"/>
              <w:right w:val="single" w:color="000000" w:sz="4"/>
            </w:tcBorders>
            <w:vAlign w:val="top"/>
          </w:tcPr>
          <w:p>
            <w:pPr>
              <w:jc w:val="center"/>
            </w:pPr>
            <w:r>
              <w:rPr>
                <w:color w:val="000000"/>
                <w:sz w:val="24"/>
              </w:rPr>
              <w:t>项目实施及管理</w:t>
            </w:r>
          </w:p>
        </w:tc>
        <w:tc>
          <w:tcPr>
            <w:tcW w:type="dxa" w:w="540"/>
            <w:vMerge w:val="restart"/>
            <w:tcBorders>
              <w:top w:val="none" w:color="000000" w:sz="4"/>
              <w:left w:val="none" w:color="000000" w:sz="4"/>
              <w:bottom w:val="single" w:color="000000" w:sz="4"/>
              <w:right w:val="single" w:color="000000" w:sz="4"/>
            </w:tcBorders>
            <w:vAlign w:val="top"/>
          </w:tcPr>
          <w:p>
            <w:pPr>
              <w:jc w:val="center"/>
            </w:pPr>
            <w:r>
              <w:rPr>
                <w:color w:val="000000"/>
                <w:sz w:val="24"/>
              </w:rPr>
              <w:t>服务期</w:t>
            </w:r>
          </w:p>
        </w:tc>
        <w:tc>
          <w:tcPr>
            <w:tcW w:type="dxa" w:w="660"/>
            <w:tcBorders>
              <w:top w:val="none" w:color="000000" w:sz="4"/>
              <w:left w:val="none" w:color="000000" w:sz="4"/>
              <w:bottom w:val="single" w:color="000000" w:sz="4"/>
              <w:right w:val="single" w:color="000000" w:sz="4"/>
            </w:tcBorders>
            <w:vAlign w:val="top"/>
          </w:tcPr>
          <w:p>
            <w:pPr>
              <w:jc w:val="center"/>
            </w:pPr>
            <w:r>
              <w:rPr>
                <w:color w:val="000000"/>
                <w:sz w:val="24"/>
              </w:rPr>
              <w:t>项目</w:t>
            </w:r>
            <w:r>
              <w:rPr>
                <w:color w:val="000000"/>
                <w:sz w:val="24"/>
              </w:rPr>
              <w:t>总负责人</w:t>
            </w:r>
          </w:p>
        </w:tc>
        <w:tc>
          <w:tcPr>
            <w:tcW w:type="dxa" w:w="1755"/>
            <w:tcBorders>
              <w:top w:val="none" w:color="000000" w:sz="4"/>
              <w:left w:val="none" w:color="000000" w:sz="4"/>
              <w:bottom w:val="single" w:color="000000" w:sz="4"/>
              <w:right w:val="single" w:color="000000" w:sz="4"/>
            </w:tcBorders>
            <w:vAlign w:val="top"/>
          </w:tcPr>
          <w:p>
            <w:pPr>
              <w:jc w:val="left"/>
            </w:pPr>
            <w:r>
              <w:rPr>
                <w:color w:val="000000"/>
                <w:sz w:val="24"/>
              </w:rPr>
              <w:t>高</w:t>
            </w:r>
            <w:r>
              <w:rPr>
                <w:color w:val="000000"/>
                <w:sz w:val="24"/>
              </w:rPr>
              <w:t>级工程师</w:t>
            </w:r>
          </w:p>
        </w:tc>
        <w:tc>
          <w:tcPr>
            <w:tcW w:type="dxa" w:w="2520"/>
            <w:tcBorders>
              <w:top w:val="none" w:color="000000" w:sz="4"/>
              <w:left w:val="none" w:color="000000" w:sz="4"/>
              <w:bottom w:val="single" w:color="000000" w:sz="4"/>
              <w:right w:val="single" w:color="000000" w:sz="4"/>
            </w:tcBorders>
            <w:vAlign w:val="top"/>
          </w:tcPr>
          <w:p>
            <w:pPr>
              <w:jc w:val="left"/>
            </w:pPr>
            <w:r>
              <w:rPr>
                <w:color w:val="000000"/>
                <w:sz w:val="24"/>
              </w:rPr>
              <w:t>项目整体质量把控及协调工作</w:t>
            </w:r>
          </w:p>
        </w:tc>
        <w:tc>
          <w:tcPr>
            <w:tcW w:type="dxa" w:w="615"/>
            <w:tcBorders>
              <w:top w:val="none" w:color="000000" w:sz="4"/>
              <w:left w:val="none" w:color="000000" w:sz="4"/>
              <w:bottom w:val="single" w:color="000000" w:sz="4"/>
              <w:right w:val="single" w:color="000000" w:sz="4"/>
            </w:tcBorders>
            <w:vAlign w:val="top"/>
          </w:tcPr>
          <w:p>
            <w:pPr>
              <w:jc w:val="center"/>
            </w:pPr>
            <w:r>
              <w:rPr>
                <w:color w:val="000000"/>
                <w:sz w:val="24"/>
              </w:rPr>
              <w:t>1</w:t>
            </w:r>
          </w:p>
        </w:tc>
        <w:tc>
          <w:tcPr>
            <w:tcW w:type="dxa" w:w="615"/>
            <w:tcBorders>
              <w:top w:val="none" w:color="000000" w:sz="4"/>
              <w:left w:val="none" w:color="000000" w:sz="4"/>
              <w:bottom w:val="single" w:color="000000" w:sz="4"/>
              <w:right w:val="single" w:color="000000" w:sz="4"/>
            </w:tcBorders>
            <w:vAlign w:val="top"/>
          </w:tcPr>
          <w:p>
            <w:pPr>
              <w:jc w:val="center"/>
            </w:pPr>
          </w:p>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510"/>
            <w:vMerge/>
            <w:tcBorders>
              <w:top w:val="none" w:color="000000" w:sz="4"/>
              <w:left w:val="none" w:color="000000" w:sz="4"/>
              <w:bottom w:val="single" w:color="000000" w:sz="4"/>
              <w:right w:val="single" w:color="000000" w:sz="4"/>
            </w:tcBorders>
          </w:tcPr>
          <w:p/>
        </w:tc>
        <w:tc>
          <w:tcPr>
            <w:tcW w:type="dxa" w:w="540"/>
            <w:vMerge/>
            <w:tcBorders>
              <w:top w:val="none" w:color="000000" w:sz="4"/>
              <w:left w:val="non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vAlign w:val="top"/>
          </w:tcPr>
          <w:p>
            <w:pPr>
              <w:jc w:val="center"/>
            </w:pPr>
            <w:r>
              <w:rPr>
                <w:color w:val="000000"/>
                <w:sz w:val="24"/>
              </w:rPr>
              <w:t>项目</w:t>
            </w:r>
            <w:r>
              <w:rPr>
                <w:color w:val="000000"/>
                <w:sz w:val="24"/>
              </w:rPr>
              <w:t>技术负责人</w:t>
            </w:r>
          </w:p>
        </w:tc>
        <w:tc>
          <w:tcPr>
            <w:tcW w:type="dxa" w:w="1755"/>
            <w:tcBorders>
              <w:top w:val="none" w:color="000000" w:sz="4"/>
              <w:left w:val="none" w:color="000000" w:sz="4"/>
              <w:bottom w:val="single" w:color="000000" w:sz="4"/>
              <w:right w:val="single" w:color="000000" w:sz="4"/>
            </w:tcBorders>
            <w:vAlign w:val="top"/>
          </w:tcPr>
          <w:p>
            <w:pPr>
              <w:jc w:val="left"/>
            </w:pPr>
            <w:r>
              <w:rPr>
                <w:color w:val="000000"/>
                <w:sz w:val="24"/>
              </w:rPr>
              <w:t>高</w:t>
            </w:r>
            <w:r>
              <w:rPr>
                <w:color w:val="000000"/>
                <w:sz w:val="24"/>
              </w:rPr>
              <w:t>级工程师</w:t>
            </w:r>
          </w:p>
        </w:tc>
        <w:tc>
          <w:tcPr>
            <w:tcW w:type="dxa" w:w="2520"/>
            <w:tcBorders>
              <w:top w:val="none" w:color="000000" w:sz="4"/>
              <w:left w:val="none" w:color="000000" w:sz="4"/>
              <w:bottom w:val="single" w:color="000000" w:sz="4"/>
              <w:right w:val="single" w:color="000000" w:sz="4"/>
            </w:tcBorders>
            <w:vAlign w:val="top"/>
          </w:tcPr>
          <w:p>
            <w:pPr>
              <w:jc w:val="left"/>
            </w:pPr>
            <w:r>
              <w:rPr>
                <w:color w:val="000000"/>
                <w:sz w:val="24"/>
              </w:rPr>
              <w:t>原始资料图档数据的收集、汇总、检查、扫描和入库；对接工程单位技术人员，沟通、研判图纸资料。</w:t>
            </w:r>
          </w:p>
        </w:tc>
        <w:tc>
          <w:tcPr>
            <w:tcW w:type="dxa" w:w="615"/>
            <w:tcBorders>
              <w:top w:val="none" w:color="000000" w:sz="4"/>
              <w:left w:val="none" w:color="000000" w:sz="4"/>
              <w:bottom w:val="single" w:color="000000" w:sz="4"/>
              <w:right w:val="single" w:color="000000" w:sz="4"/>
            </w:tcBorders>
            <w:vAlign w:val="top"/>
          </w:tcPr>
          <w:p>
            <w:pPr>
              <w:jc w:val="center"/>
            </w:pPr>
            <w:r>
              <w:rPr>
                <w:color w:val="000000"/>
                <w:sz w:val="24"/>
              </w:rPr>
              <w:t>1</w:t>
            </w:r>
          </w:p>
        </w:tc>
        <w:tc>
          <w:tcPr>
            <w:tcW w:type="dxa" w:w="615"/>
            <w:tcBorders>
              <w:top w:val="none" w:color="000000" w:sz="4"/>
              <w:left w:val="none" w:color="000000" w:sz="4"/>
              <w:bottom w:val="single" w:color="000000" w:sz="4"/>
              <w:right w:val="single" w:color="000000" w:sz="4"/>
            </w:tcBorders>
            <w:vAlign w:val="top"/>
          </w:tcPr>
          <w:p>
            <w:pPr>
              <w:jc w:val="center"/>
            </w:pPr>
          </w:p>
          <w:p>
            <w:pPr>
              <w:jc w:val="center"/>
            </w:pPr>
            <w:r>
              <w:rPr>
                <w:color w:val="000000"/>
                <w:sz w:val="24"/>
              </w:rPr>
              <w:t>驻场</w:t>
            </w:r>
          </w:p>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color w:val="000000"/>
                <w:sz w:val="24"/>
              </w:rPr>
              <w:t>3</w:t>
            </w:r>
          </w:p>
        </w:tc>
        <w:tc>
          <w:tcPr>
            <w:tcW w:type="dxa" w:w="510"/>
            <w:vMerge/>
            <w:tcBorders>
              <w:top w:val="none" w:color="000000" w:sz="4"/>
              <w:left w:val="none" w:color="000000" w:sz="4"/>
              <w:bottom w:val="single" w:color="000000" w:sz="4"/>
              <w:right w:val="single" w:color="000000" w:sz="4"/>
            </w:tcBorders>
          </w:tcPr>
          <w:p/>
        </w:tc>
        <w:tc>
          <w:tcPr>
            <w:tcW w:type="dxa" w:w="540"/>
            <w:vMerge/>
            <w:tcBorders>
              <w:top w:val="none" w:color="000000" w:sz="4"/>
              <w:left w:val="non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vAlign w:val="top"/>
          </w:tcPr>
          <w:p>
            <w:pPr>
              <w:jc w:val="left"/>
            </w:pPr>
            <w:r>
              <w:rPr>
                <w:color w:val="000000"/>
                <w:sz w:val="24"/>
              </w:rPr>
              <w:t>项目</w:t>
            </w:r>
            <w:r>
              <w:rPr>
                <w:color w:val="000000"/>
                <w:sz w:val="24"/>
              </w:rPr>
              <w:t>经理</w:t>
            </w:r>
          </w:p>
        </w:tc>
        <w:tc>
          <w:tcPr>
            <w:tcW w:type="dxa" w:w="1755"/>
            <w:tcBorders>
              <w:top w:val="none" w:color="000000" w:sz="4"/>
              <w:left w:val="none" w:color="000000" w:sz="4"/>
              <w:bottom w:val="single" w:color="000000" w:sz="4"/>
              <w:right w:val="single" w:color="000000" w:sz="4"/>
            </w:tcBorders>
            <w:vAlign w:val="top"/>
          </w:tcPr>
          <w:p>
            <w:pPr>
              <w:jc w:val="left"/>
            </w:pPr>
            <w:r>
              <w:rPr>
                <w:color w:val="000000"/>
                <w:sz w:val="24"/>
              </w:rPr>
              <w:t>中级工程师</w:t>
            </w:r>
          </w:p>
        </w:tc>
        <w:tc>
          <w:tcPr>
            <w:tcW w:type="dxa" w:w="2520"/>
            <w:tcBorders>
              <w:top w:val="none" w:color="000000" w:sz="4"/>
              <w:left w:val="none" w:color="000000" w:sz="4"/>
              <w:bottom w:val="single" w:color="000000" w:sz="4"/>
              <w:right w:val="single" w:color="000000" w:sz="4"/>
            </w:tcBorders>
            <w:vAlign w:val="top"/>
          </w:tcPr>
          <w:p>
            <w:pPr>
              <w:jc w:val="left"/>
            </w:pPr>
            <w:r>
              <w:rPr>
                <w:color w:val="000000"/>
                <w:sz w:val="24"/>
              </w:rPr>
              <w:t>基础数据处理及更新建库服务，对管理局各个部门进行需求调研，对各个部门已有数据目标数据进行详细梳理。</w:t>
            </w:r>
          </w:p>
        </w:tc>
        <w:tc>
          <w:tcPr>
            <w:tcW w:type="dxa" w:w="615"/>
            <w:tcBorders>
              <w:top w:val="none" w:color="000000" w:sz="4"/>
              <w:left w:val="none" w:color="000000" w:sz="4"/>
              <w:bottom w:val="single" w:color="000000" w:sz="4"/>
              <w:right w:val="single" w:color="000000" w:sz="4"/>
            </w:tcBorders>
            <w:vAlign w:val="top"/>
          </w:tcPr>
          <w:p>
            <w:pPr>
              <w:jc w:val="center"/>
            </w:pPr>
            <w:r>
              <w:rPr>
                <w:color w:val="000000"/>
                <w:sz w:val="24"/>
              </w:rPr>
              <w:t>1</w:t>
            </w:r>
          </w:p>
        </w:tc>
        <w:tc>
          <w:tcPr>
            <w:tcW w:type="dxa" w:w="615"/>
            <w:tcBorders>
              <w:top w:val="none" w:color="000000" w:sz="4"/>
              <w:left w:val="none" w:color="000000" w:sz="4"/>
              <w:bottom w:val="single" w:color="000000" w:sz="4"/>
              <w:right w:val="single" w:color="000000" w:sz="4"/>
            </w:tcBorders>
            <w:vAlign w:val="top"/>
          </w:tcPr>
          <w:p>
            <w:pPr>
              <w:jc w:val="center"/>
            </w:pPr>
          </w:p>
          <w:p>
            <w:pPr>
              <w:jc w:val="center"/>
            </w:pPr>
          </w:p>
          <w:p>
            <w:pPr>
              <w:jc w:val="center"/>
            </w:pPr>
            <w:r>
              <w:rPr>
                <w:color w:val="000000"/>
                <w:sz w:val="24"/>
              </w:rPr>
              <w:t>驻场</w:t>
            </w:r>
          </w:p>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510"/>
            <w:vMerge/>
            <w:tcBorders>
              <w:top w:val="none" w:color="000000" w:sz="4"/>
              <w:left w:val="none" w:color="000000" w:sz="4"/>
              <w:bottom w:val="single" w:color="000000" w:sz="4"/>
              <w:right w:val="single" w:color="000000" w:sz="4"/>
            </w:tcBorders>
          </w:tcPr>
          <w:p/>
        </w:tc>
        <w:tc>
          <w:tcPr>
            <w:tcW w:type="dxa" w:w="540"/>
            <w:vMerge/>
            <w:tcBorders>
              <w:top w:val="none" w:color="000000" w:sz="4"/>
              <w:left w:val="none" w:color="000000" w:sz="4"/>
              <w:bottom w:val="single" w:color="000000" w:sz="4"/>
              <w:right w:val="single" w:color="000000" w:sz="4"/>
            </w:tcBorders>
          </w:tcPr>
          <w:p/>
        </w:tc>
        <w:tc>
          <w:tcPr>
            <w:tcW w:type="dxa" w:w="660"/>
            <w:vMerge w:val="restart"/>
            <w:tcBorders>
              <w:top w:val="none" w:color="000000" w:sz="4"/>
              <w:left w:val="none" w:color="000000" w:sz="4"/>
              <w:bottom w:val="single" w:color="000000" w:sz="4"/>
              <w:right w:val="single" w:color="000000" w:sz="4"/>
            </w:tcBorders>
            <w:vAlign w:val="top"/>
          </w:tcPr>
          <w:p>
            <w:pPr>
              <w:jc w:val="left"/>
            </w:pPr>
            <w:r>
              <w:rPr>
                <w:color w:val="000000"/>
                <w:sz w:val="24"/>
              </w:rPr>
              <w:t>项目人员</w:t>
            </w:r>
          </w:p>
        </w:tc>
        <w:tc>
          <w:tcPr>
            <w:tcW w:type="dxa" w:w="1755"/>
            <w:tcBorders>
              <w:top w:val="none" w:color="000000" w:sz="4"/>
              <w:left w:val="none" w:color="000000" w:sz="4"/>
              <w:bottom w:val="single" w:color="000000" w:sz="4"/>
              <w:right w:val="single" w:color="000000" w:sz="4"/>
            </w:tcBorders>
            <w:vAlign w:val="top"/>
          </w:tcPr>
          <w:p>
            <w:pPr>
              <w:jc w:val="left"/>
            </w:pPr>
            <w:r>
              <w:rPr>
                <w:color w:val="000000"/>
                <w:sz w:val="24"/>
              </w:rPr>
              <w:t>中级工程师</w:t>
            </w:r>
          </w:p>
        </w:tc>
        <w:tc>
          <w:tcPr>
            <w:tcW w:type="dxa" w:w="2520"/>
            <w:tcBorders>
              <w:top w:val="none" w:color="000000" w:sz="4"/>
              <w:left w:val="none" w:color="000000" w:sz="4"/>
              <w:bottom w:val="single" w:color="000000" w:sz="4"/>
              <w:right w:val="single" w:color="000000" w:sz="4"/>
            </w:tcBorders>
            <w:vAlign w:val="top"/>
          </w:tcPr>
          <w:p>
            <w:pPr>
              <w:jc w:val="left"/>
            </w:pPr>
            <w:r>
              <w:rPr>
                <w:color w:val="000000"/>
                <w:sz w:val="24"/>
              </w:rPr>
              <w:t>数据治理相关工作，如质检、数据风格化配置、数据轻量化配置和数据服务发布等</w:t>
            </w:r>
          </w:p>
        </w:tc>
        <w:tc>
          <w:tcPr>
            <w:tcW w:type="dxa" w:w="615"/>
            <w:tcBorders>
              <w:top w:val="none" w:color="000000" w:sz="4"/>
              <w:left w:val="none" w:color="000000" w:sz="4"/>
              <w:bottom w:val="single" w:color="000000" w:sz="4"/>
              <w:right w:val="single" w:color="000000" w:sz="4"/>
            </w:tcBorders>
            <w:vAlign w:val="top"/>
          </w:tcPr>
          <w:p>
            <w:pPr>
              <w:jc w:val="center"/>
            </w:pPr>
            <w:r>
              <w:rPr>
                <w:color w:val="000000"/>
                <w:sz w:val="24"/>
              </w:rPr>
              <w:t>4</w:t>
            </w:r>
          </w:p>
        </w:tc>
        <w:tc>
          <w:tcPr>
            <w:tcW w:type="dxa" w:w="615"/>
            <w:tcBorders>
              <w:top w:val="none" w:color="000000" w:sz="4"/>
              <w:left w:val="none" w:color="000000" w:sz="4"/>
              <w:bottom w:val="single" w:color="000000" w:sz="4"/>
              <w:right w:val="single" w:color="000000" w:sz="4"/>
            </w:tcBorders>
            <w:vAlign w:val="top"/>
          </w:tcPr>
          <w:p>
            <w:pPr>
              <w:jc w:val="center"/>
            </w:pPr>
            <w:r>
              <w:rPr>
                <w:color w:val="000000"/>
                <w:sz w:val="24"/>
              </w:rPr>
              <w:t>驻场</w:t>
            </w:r>
          </w:p>
        </w:tc>
      </w:tr>
      <w:tr>
        <w:tc>
          <w:tcPr>
            <w:tcW w:type="dxa" w:w="375"/>
            <w:tcBorders>
              <w:top w:val="none" w:color="000000" w:sz="4"/>
              <w:left w:val="single" w:color="000000" w:sz="4"/>
              <w:bottom w:val="single" w:color="000000" w:sz="4"/>
              <w:right w:val="single" w:color="000000" w:sz="4"/>
            </w:tcBorders>
            <w:vAlign w:val="top"/>
          </w:tcPr>
          <w:p>
            <w:pPr>
              <w:jc w:val="center"/>
            </w:pPr>
            <w:r>
              <w:rPr>
                <w:color w:val="000000"/>
                <w:sz w:val="24"/>
              </w:rPr>
              <w:t>5</w:t>
            </w:r>
          </w:p>
        </w:tc>
        <w:tc>
          <w:tcPr>
            <w:tcW w:type="dxa" w:w="510"/>
            <w:vMerge/>
            <w:tcBorders>
              <w:top w:val="none" w:color="000000" w:sz="4"/>
              <w:left w:val="none" w:color="000000" w:sz="4"/>
              <w:bottom w:val="single" w:color="000000" w:sz="4"/>
              <w:right w:val="single" w:color="000000" w:sz="4"/>
            </w:tcBorders>
          </w:tcPr>
          <w:p/>
        </w:tc>
        <w:tc>
          <w:tcPr>
            <w:tcW w:type="dxa" w:w="540"/>
            <w:vMerge/>
            <w:tcBorders>
              <w:top w:val="none" w:color="000000" w:sz="4"/>
              <w:left w:val="none" w:color="000000" w:sz="4"/>
              <w:bottom w:val="single" w:color="000000" w:sz="4"/>
              <w:right w:val="single" w:color="000000" w:sz="4"/>
            </w:tcBorders>
          </w:tcPr>
          <w:p/>
        </w:tc>
        <w:tc>
          <w:tcPr>
            <w:tcW w:type="dxa" w:w="660"/>
            <w:vMerge/>
            <w:tcBorders>
              <w:top w:val="none" w:color="000000" w:sz="4"/>
              <w:left w:val="none" w:color="000000" w:sz="4"/>
              <w:bottom w:val="single" w:color="000000" w:sz="4"/>
              <w:right w:val="single" w:color="000000" w:sz="4"/>
            </w:tcBorders>
          </w:tcPr>
          <w:p/>
        </w:tc>
        <w:tc>
          <w:tcPr>
            <w:tcW w:type="dxa" w:w="1755"/>
            <w:tcBorders>
              <w:top w:val="none" w:color="000000" w:sz="4"/>
              <w:left w:val="none" w:color="000000" w:sz="4"/>
              <w:bottom w:val="single" w:color="000000" w:sz="4"/>
              <w:right w:val="single" w:color="000000" w:sz="4"/>
            </w:tcBorders>
            <w:vAlign w:val="top"/>
          </w:tcPr>
          <w:p>
            <w:pPr>
              <w:jc w:val="left"/>
            </w:pPr>
            <w:r>
              <w:rPr>
                <w:color w:val="000000"/>
                <w:sz w:val="24"/>
              </w:rPr>
              <w:t>中级工程师</w:t>
            </w:r>
          </w:p>
        </w:tc>
        <w:tc>
          <w:tcPr>
            <w:tcW w:type="dxa" w:w="2520"/>
            <w:tcBorders>
              <w:top w:val="none" w:color="000000" w:sz="4"/>
              <w:left w:val="none" w:color="000000" w:sz="4"/>
              <w:bottom w:val="single" w:color="000000" w:sz="4"/>
              <w:right w:val="single" w:color="000000" w:sz="4"/>
            </w:tcBorders>
            <w:vAlign w:val="top"/>
          </w:tcPr>
          <w:p>
            <w:pPr>
              <w:jc w:val="left"/>
            </w:pPr>
            <w:r>
              <w:rPr>
                <w:color w:val="000000"/>
                <w:sz w:val="24"/>
              </w:rPr>
              <w:t>数据库建设，主要负责基础时空数据、物联网数据、城市管理数据等的建库工作</w:t>
            </w:r>
          </w:p>
        </w:tc>
        <w:tc>
          <w:tcPr>
            <w:tcW w:type="dxa" w:w="615"/>
            <w:tcBorders>
              <w:top w:val="none" w:color="000000" w:sz="4"/>
              <w:left w:val="none" w:color="000000" w:sz="4"/>
              <w:bottom w:val="single" w:color="000000" w:sz="4"/>
              <w:right w:val="single" w:color="000000" w:sz="4"/>
            </w:tcBorders>
            <w:vAlign w:val="top"/>
          </w:tcPr>
          <w:p>
            <w:pPr>
              <w:jc w:val="center"/>
            </w:pPr>
            <w:r>
              <w:rPr>
                <w:color w:val="000000"/>
                <w:sz w:val="24"/>
              </w:rPr>
              <w:t>4</w:t>
            </w:r>
          </w:p>
        </w:tc>
        <w:tc>
          <w:tcPr>
            <w:tcW w:type="dxa" w:w="615"/>
            <w:tcBorders>
              <w:top w:val="none" w:color="000000" w:sz="4"/>
              <w:left w:val="none" w:color="000000" w:sz="4"/>
              <w:bottom w:val="single" w:color="000000" w:sz="4"/>
              <w:right w:val="single" w:color="000000" w:sz="4"/>
            </w:tcBorders>
            <w:vAlign w:val="top"/>
          </w:tcPr>
          <w:p>
            <w:pPr>
              <w:jc w:val="center"/>
            </w:pPr>
          </w:p>
        </w:tc>
      </w:tr>
    </w:tbl>
    <w:p>
      <w:pPr>
        <w:ind w:firstLine="480"/>
        <w:jc w:val="both"/>
      </w:pPr>
      <w:r>
        <w:rPr>
          <w:b/>
          <w:sz w:val="24"/>
        </w:rPr>
        <w:t>四、服务期间</w:t>
      </w:r>
    </w:p>
    <w:p>
      <w:pPr>
        <w:ind w:firstLine="480"/>
        <w:jc w:val="both"/>
      </w:pPr>
      <w:r>
        <w:rPr>
          <w:sz w:val="24"/>
        </w:rPr>
        <w:t>1.委托服务期间自       年       月至       年       月止。</w:t>
      </w:r>
    </w:p>
    <w:p>
      <w:pPr>
        <w:ind w:firstLine="480"/>
        <w:jc w:val="both"/>
      </w:pPr>
      <w:r>
        <w:rPr>
          <w:b/>
          <w:sz w:val="24"/>
        </w:rPr>
        <w:t>五、付款方式</w:t>
      </w:r>
    </w:p>
    <w:p>
      <w:pPr>
        <w:ind w:firstLine="480"/>
        <w:jc w:val="both"/>
      </w:pPr>
      <w:r>
        <w:rPr>
          <w:sz w:val="24"/>
        </w:rPr>
        <w:t>详见用户需求书</w:t>
      </w:r>
    </w:p>
    <w:p>
      <w:pPr>
        <w:ind w:firstLine="480"/>
        <w:jc w:val="both"/>
      </w:pPr>
      <w:r>
        <w:rPr>
          <w:b/>
          <w:sz w:val="24"/>
        </w:rPr>
        <w:t>六、知识产权归属</w:t>
      </w:r>
    </w:p>
    <w:p>
      <w:pPr>
        <w:ind w:firstLine="480"/>
        <w:jc w:val="both"/>
      </w:pPr>
      <w:r>
        <w:rPr>
          <w:b/>
          <w:sz w:val="24"/>
        </w:rPr>
        <w:t>七、保密</w:t>
      </w:r>
    </w:p>
    <w:p>
      <w:pPr>
        <w:ind w:firstLine="480"/>
        <w:jc w:val="both"/>
      </w:pPr>
      <w:r>
        <w:rPr>
          <w:b/>
          <w:sz w:val="24"/>
        </w:rPr>
        <w:t>八、违约责任</w:t>
      </w:r>
      <w:r>
        <w:rPr>
          <w:b/>
          <w:sz w:val="24"/>
        </w:rPr>
        <w:t>与赔偿损失</w:t>
      </w:r>
    </w:p>
    <w:p>
      <w:pPr>
        <w:ind w:firstLine="480"/>
        <w:jc w:val="both"/>
      </w:pPr>
      <w:r>
        <w:rPr>
          <w:sz w:val="24"/>
        </w:rPr>
        <w:t>1.乙方提供的服务须符合甲方的当时实际要求，如所提供的服务不符合甲方要求,甲方有权拒绝，并且乙方须向甲方支付该服务项目价格5%的违约金。</w:t>
      </w:r>
    </w:p>
    <w:p>
      <w:pPr>
        <w:ind w:firstLine="480"/>
        <w:jc w:val="both"/>
      </w:pPr>
      <w:r>
        <w:rPr>
          <w:sz w:val="24"/>
        </w:rPr>
        <w:t>2.乙方如不能按照双方约定的时间提供服务，自逾期之日起每日按该服务项目价格3‰的数额向甲方支付违约金；逾期十五日的，甲方有权终止合同，由此造成的甲方经济损失由乙方承担。</w:t>
      </w:r>
    </w:p>
    <w:p>
      <w:pPr>
        <w:ind w:firstLine="480"/>
        <w:jc w:val="both"/>
      </w:pPr>
      <w:r>
        <w:rPr>
          <w:sz w:val="24"/>
        </w:rPr>
        <w:t>3.如甲方不能在合同规定期限内办理款项送审手续，则乙方有权按相应日期延期交货或交付使用。</w:t>
      </w:r>
    </w:p>
    <w:p>
      <w:pPr>
        <w:ind w:firstLine="480"/>
        <w:jc w:val="both"/>
      </w:pPr>
      <w:r>
        <w:rPr>
          <w:sz w:val="24"/>
        </w:rPr>
        <w:t>4.其它违约责任按《中华人民共和国民法典（合同编）》处理。</w:t>
      </w:r>
    </w:p>
    <w:p>
      <w:pPr>
        <w:ind w:firstLine="480"/>
        <w:jc w:val="both"/>
      </w:pPr>
      <w:r>
        <w:rPr>
          <w:b/>
          <w:sz w:val="24"/>
        </w:rPr>
        <w:t>九、争议的解决</w:t>
      </w:r>
    </w:p>
    <w:p>
      <w:pPr>
        <w:ind w:firstLine="480"/>
        <w:jc w:val="both"/>
      </w:pPr>
      <w:r>
        <w:rPr>
          <w:sz w:val="24"/>
        </w:rPr>
        <w:t>1.凡与本合同有关而引起的一切争议，甲乙双方应首先通过友好协商解决，如经协商后仍不能达成协议时，任何一方可以向甲方所在地的人民法院提请诉讼。</w:t>
      </w:r>
    </w:p>
    <w:p>
      <w:pPr>
        <w:ind w:firstLine="480"/>
        <w:jc w:val="both"/>
      </w:pPr>
      <w:r>
        <w:rPr>
          <w:sz w:val="24"/>
        </w:rPr>
        <w:t>2.如双方发生诉讼，诉讼事项不影响合同其他部分履行的，除提交法院审理的事项外，合同其他部分仍应继续履行。</w:t>
      </w:r>
    </w:p>
    <w:p>
      <w:pPr>
        <w:ind w:firstLine="480"/>
        <w:jc w:val="both"/>
      </w:pPr>
      <w:r>
        <w:rPr>
          <w:sz w:val="24"/>
        </w:rPr>
        <w:t>3.本合同按照中华人民共和国有关法律进行解释。</w:t>
      </w:r>
    </w:p>
    <w:p>
      <w:pPr>
        <w:ind w:firstLine="480"/>
        <w:jc w:val="both"/>
      </w:pPr>
      <w:r>
        <w:rPr>
          <w:b/>
          <w:sz w:val="24"/>
        </w:rPr>
        <w:t>十、不可抗力</w:t>
      </w:r>
    </w:p>
    <w:p>
      <w:pPr>
        <w:ind w:firstLine="470"/>
        <w:jc w:val="both"/>
      </w:pPr>
      <w:r>
        <w:rPr>
          <w:sz w:val="24"/>
        </w:rPr>
        <w:t>任何一方由于不可抗力原因不能履行合同时，应在不可抗力事件结束后</w:t>
      </w:r>
      <w:r>
        <w:rPr>
          <w:sz w:val="24"/>
        </w:rPr>
        <w:t>1日内向对方通报，以减轻可能给对方造成的损失，在取得有关机构的不可抗力证明或双方谅解确认后，允许延期履行或修订合同，并根据情况可部分或全部免于承担违约责任。</w:t>
      </w:r>
    </w:p>
    <w:p>
      <w:pPr>
        <w:ind w:firstLine="470"/>
        <w:jc w:val="both"/>
      </w:pPr>
      <w:r>
        <w:rPr>
          <w:b/>
          <w:sz w:val="24"/>
        </w:rPr>
        <w:t>十一、税费</w:t>
      </w:r>
    </w:p>
    <w:p>
      <w:pPr>
        <w:ind w:firstLine="470"/>
        <w:jc w:val="both"/>
      </w:pPr>
      <w:r>
        <w:rPr>
          <w:sz w:val="24"/>
        </w:rPr>
        <w:t>在中国境内、外发生的与本合同执行有关的一切税费均由乙方负担。</w:t>
      </w:r>
    </w:p>
    <w:p>
      <w:pPr>
        <w:ind w:firstLine="470"/>
        <w:jc w:val="both"/>
      </w:pPr>
      <w:r>
        <w:rPr>
          <w:b/>
          <w:sz w:val="24"/>
        </w:rPr>
        <w:t>十二、其它</w:t>
      </w:r>
    </w:p>
    <w:p>
      <w:pPr>
        <w:ind w:firstLine="480"/>
        <w:jc w:val="both"/>
      </w:pPr>
      <w:r>
        <w:rPr>
          <w:sz w:val="24"/>
        </w:rPr>
        <w:t>1.本合同所有附件、采购文件、投标文件、中标通知书均为合同的有效组成部分，与本合同具有同等法律效力。</w:t>
      </w:r>
    </w:p>
    <w:p>
      <w:pPr>
        <w:ind w:firstLine="480"/>
        <w:jc w:val="both"/>
      </w:pPr>
      <w:r>
        <w:rPr>
          <w:sz w:val="24"/>
        </w:rPr>
        <w:t>2.</w:t>
      </w:r>
      <w:r>
        <w:rPr>
          <w:sz w:val="24"/>
        </w:rPr>
        <w:t>在执行本合同的过程中，所有经双方签署确认的文件（包括会议纪要、补充协议、往来信函）即成为本合同的有效组成部分。</w:t>
      </w:r>
    </w:p>
    <w:p>
      <w:pPr>
        <w:ind w:firstLine="480"/>
        <w:jc w:val="both"/>
      </w:pPr>
      <w:r>
        <w:rPr>
          <w:sz w:val="24"/>
        </w:rPr>
        <w:t>3.本合同所载地址为双方法定地址，本合同一方给对方的通知应以书面形式送达到该地址，电传或传真要经对方的书面确认，以电报形式的通知，从当地邮电局发出电报的第二天视为送达。通知送达日期与通知书规定生效日期不一致的，以最后的日期为准。如一方地址、电话、传真号码有变更，应在变更当日内书面通知对方，否则，应承担相应责任。</w:t>
      </w:r>
    </w:p>
    <w:p>
      <w:pPr>
        <w:ind w:firstLine="480"/>
        <w:jc w:val="both"/>
      </w:pPr>
      <w:r>
        <w:rPr>
          <w:b/>
          <w:sz w:val="24"/>
        </w:rPr>
        <w:t>十三、合同生效：</w:t>
      </w:r>
    </w:p>
    <w:p>
      <w:pPr>
        <w:ind w:firstLine="480"/>
        <w:jc w:val="both"/>
      </w:pPr>
      <w:r>
        <w:rPr>
          <w:sz w:val="24"/>
        </w:rPr>
        <w:t>1.本合同在甲乙双方法人代表或其授权代表签字盖章后生效。</w:t>
      </w:r>
    </w:p>
    <w:p>
      <w:pPr>
        <w:ind w:firstLine="480"/>
        <w:jc w:val="both"/>
      </w:pPr>
      <w:r>
        <w:rPr>
          <w:sz w:val="24"/>
        </w:rPr>
        <w:t>2.合同一式</w:t>
      </w:r>
      <w:r>
        <w:rPr>
          <w:sz w:val="24"/>
          <w:u w:val="single"/>
        </w:rPr>
        <w:t xml:space="preserve">    </w:t>
      </w:r>
      <w:r>
        <w:rPr>
          <w:sz w:val="24"/>
        </w:rPr>
        <w:t>份。</w:t>
      </w:r>
    </w:p>
    <w:p>
      <w:pPr>
        <w:jc w:val="both"/>
      </w:pPr>
      <w:r>
        <w:rPr>
          <w:b/>
          <w:sz w:val="24"/>
        </w:rPr>
        <w:t>甲方（盖章）：</w:t>
      </w:r>
      <w:r>
        <w:rPr>
          <w:b/>
          <w:sz w:val="24"/>
        </w:rPr>
        <w:t xml:space="preserve">                   </w:t>
      </w:r>
      <w:r>
        <w:rPr>
          <w:b/>
          <w:sz w:val="24"/>
        </w:rPr>
        <w:t>乙方（盖章）：</w:t>
      </w:r>
    </w:p>
    <w:p>
      <w:pPr>
        <w:jc w:val="both"/>
      </w:pPr>
      <w:r>
        <w:rPr>
          <w:b/>
          <w:sz w:val="24"/>
        </w:rPr>
        <w:t>代表：</w:t>
      </w:r>
      <w:r>
        <w:rPr>
          <w:b/>
          <w:sz w:val="24"/>
        </w:rPr>
        <w:t xml:space="preserve">                           </w:t>
      </w:r>
      <w:r>
        <w:rPr>
          <w:b/>
          <w:sz w:val="24"/>
        </w:rPr>
        <w:t>代表：</w:t>
      </w:r>
      <w:r>
        <w:rPr>
          <w:b/>
          <w:sz w:val="24"/>
        </w:rPr>
        <w:t xml:space="preserve"> </w:t>
      </w:r>
    </w:p>
    <w:p>
      <w:pPr>
        <w:jc w:val="both"/>
      </w:pPr>
      <w:r>
        <w:rPr>
          <w:sz w:val="24"/>
        </w:rPr>
        <w:t>签定地点：</w:t>
      </w:r>
    </w:p>
    <w:p>
      <w:pPr>
        <w:jc w:val="both"/>
      </w:pPr>
      <w:r>
        <w:rPr>
          <w:sz w:val="24"/>
        </w:rPr>
        <w:t>签定日期：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签定日期：</w:t>
      </w:r>
      <w:r>
        <w:rPr>
          <w:sz w:val="24"/>
        </w:rPr>
        <w:t xml:space="preserve">  </w:t>
      </w:r>
      <w:r>
        <w:rPr>
          <w:sz w:val="24"/>
        </w:rPr>
        <w:t>年</w:t>
      </w:r>
      <w:r>
        <w:rPr>
          <w:sz w:val="24"/>
        </w:rPr>
        <w:t xml:space="preserve">  </w:t>
      </w:r>
      <w:r>
        <w:rPr>
          <w:sz w:val="24"/>
        </w:rPr>
        <w:t>月</w:t>
      </w:r>
      <w:r>
        <w:rPr>
          <w:sz w:val="24"/>
        </w:rPr>
        <w:t xml:space="preserve">   </w:t>
      </w:r>
      <w:r>
        <w:rPr>
          <w:sz w:val="24"/>
        </w:rPr>
        <w:t>日</w:t>
      </w:r>
    </w:p>
    <w:p>
      <w:pPr>
        <w:ind w:firstLine="4080"/>
        <w:jc w:val="both"/>
      </w:pPr>
      <w:r>
        <w:rPr>
          <w:sz w:val="24"/>
        </w:rPr>
        <w:t>开户名称：</w:t>
      </w:r>
    </w:p>
    <w:p>
      <w:pPr>
        <w:ind w:firstLine="4080"/>
        <w:jc w:val="both"/>
      </w:pPr>
      <w:r>
        <w:rPr>
          <w:sz w:val="24"/>
        </w:rPr>
        <w:t>银行帐号：</w:t>
      </w:r>
    </w:p>
    <w:p>
      <w:pPr>
        <w:ind w:firstLine="4080"/>
        <w:jc w:val="both"/>
      </w:pPr>
      <w:r>
        <w:rPr>
          <w:sz w:val="24"/>
        </w:rPr>
        <w:t>开</w:t>
      </w:r>
      <w:r>
        <w:rPr>
          <w:sz w:val="24"/>
        </w:rPr>
        <w:t>户</w:t>
      </w:r>
      <w:r>
        <w:rPr>
          <w:sz w:val="24"/>
        </w:rPr>
        <w:t>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440115-2022-03724</w:t>
      </w:r>
    </w:p>
    <w:p>
      <w:pPr>
        <w:jc w:val="center"/>
      </w:pPr>
      <w:r>
        <w:rPr>
          <w:b/>
          <w:sz w:val="24"/>
        </w:rPr>
        <w:t>采购项目编号：</w:t>
      </w:r>
      <w:r>
        <w:rPr>
          <w:b/>
          <w:sz w:val="24"/>
        </w:rPr>
        <w:t>C001011-20220055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广东国利招标有限公司</w:t>
      </w:r>
    </w:p>
    <w:p>
      <w:pPr>
        <w:ind w:firstLine="480"/>
      </w:pPr>
      <w:r>
        <w:rPr/>
        <w:t>你方组织的</w:t>
      </w:r>
      <w:r>
        <w:rPr>
          <w:u w:val="single"/>
        </w:rPr>
        <w:t>明珠湾起步区智慧城市数据治理服务项目</w:t>
      </w:r>
      <w:r>
        <w:rPr/>
        <w:t>项目的招标[采购项目编号为：</w:t>
      </w:r>
      <w:r>
        <w:rPr>
          <w:u w:val="single"/>
        </w:rPr>
        <w:t>C001011-20220055</w:t>
      </w:r>
      <w:r>
        <w:rPr/>
        <w:t>]，我方愿参与投标。</w:t>
      </w:r>
    </w:p>
    <w:p>
      <w:pPr>
        <w:ind w:firstLine="480"/>
      </w:pPr>
      <w:r>
        <w:rPr/>
        <w:t>我方确认收到贵方提供的</w:t>
      </w:r>
      <w:r>
        <w:rPr>
          <w:u w:val="single"/>
        </w:rPr>
        <w:t>明珠湾起步区智慧城市数据治理服务项目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广东国利招标有限公司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明珠湾起步区智慧城市数据治理服务项目</w:t>
      </w:r>
      <w:r>
        <w:rPr/>
        <w:t>项目采购[采购项目编号为</w:t>
      </w:r>
      <w:r>
        <w:rPr/>
        <w:t>C001011-20220055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广州市南沙新区明珠湾开发建设管理局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广东国利招标有限公司</w:t>
      </w:r>
    </w:p>
    <w:p>
      <w:pPr>
        <w:ind w:firstLine="480"/>
      </w:pPr>
      <w:r>
        <w:rPr/>
        <w:t>如果我方在贵采购代理机构组织的</w:t>
      </w:r>
      <w:r>
        <w:rPr/>
        <w:t>明珠湾起步区智慧城市数据治理服务项目</w:t>
      </w:r>
      <w:r>
        <w:rPr/>
        <w:t>招标中获中标（采购项目编号：</w:t>
      </w:r>
      <w:r>
        <w:rPr/>
        <w:t>C001011-20220055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广东国利招标有限公司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