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440115-2022-03302</w:t>
      </w:r>
    </w:p>
    <w:p>
      <w:pPr>
        <w:jc w:val="center"/>
      </w:pPr>
      <w:r>
        <w:rPr>
          <w:b/>
          <w:sz w:val="24"/>
        </w:rPr>
        <w:t>采购项目编号：</w:t>
      </w:r>
      <w:r>
        <w:rPr>
          <w:b/>
          <w:sz w:val="24"/>
        </w:rPr>
        <w:t>C001011-20220050</w:t>
      </w:r>
    </w:p>
    <w:p>
      <w:pPr>
        <w:jc w:val="center"/>
      </w:pPr>
      <w:r>
        <w:rPr>
          <w:b/>
          <w:sz w:val="24"/>
        </w:rPr>
        <w:t>项目名称：</w:t>
      </w:r>
      <w:r>
        <w:rPr>
          <w:b/>
          <w:sz w:val="24"/>
        </w:rPr>
        <w:t>明珠湾起步区灵山岛尖C2单元高水平国际城市风貌管控技术服务（2022-2025）</w:t>
      </w:r>
    </w:p>
    <w:p>
      <w:pPr>
        <w:jc w:val="center"/>
      </w:pPr>
      <w:r>
        <w:rPr>
          <w:b/>
          <w:sz w:val="24"/>
        </w:rPr>
        <w:t>采购人：</w:t>
      </w:r>
      <w:r>
        <w:rPr>
          <w:b/>
          <w:sz w:val="24"/>
        </w:rPr>
        <w:t>广州市南沙新区明珠湾开发建设管理局</w:t>
      </w:r>
    </w:p>
    <w:p>
      <w:pPr>
        <w:jc w:val="center"/>
      </w:pPr>
      <w:r>
        <w:rPr>
          <w:b/>
          <w:sz w:val="24"/>
        </w:rPr>
        <w:t>采购代理机构：</w:t>
      </w:r>
      <w:r>
        <w:rPr>
          <w:b/>
          <w:sz w:val="24"/>
        </w:rPr>
        <w:t>广东国利招标有限公司</w:t>
      </w:r>
    </w:p>
    <w:p>
      <w:pPr>
        <w:ind w:firstLine="480"/>
      </w:pPr>
    </w:p>
    <w:p>
      <w:r>
        <w:rPr/>
        <w:t xml:space="preserve"> </w:t>
      </w:r>
    </w:p>
    <w:p/>
    <w:p>
      <w:pPr>
        <w:jc w:val="center"/>
      </w:pPr>
      <w:r>
        <w:rPr>
          <w:b/>
          <w:sz w:val="36"/>
        </w:rPr>
        <w:t>第一章投标邀请</w:t>
      </w:r>
    </w:p>
    <w:p>
      <w:pPr>
        <w:ind w:firstLine="480"/>
      </w:pPr>
      <w:r>
        <w:rPr/>
        <w:t>广东国利招标有限公司</w:t>
      </w:r>
      <w:r>
        <w:rPr/>
        <w:t>受</w:t>
      </w:r>
      <w:r>
        <w:rPr/>
        <w:t>广州市南沙新区明珠湾开发建设管理局</w:t>
      </w:r>
      <w:r>
        <w:rPr/>
        <w:t>的委托，采用</w:t>
      </w:r>
      <w:r>
        <w:rPr/>
        <w:t>公开招标</w:t>
      </w:r>
      <w:r>
        <w:rPr/>
        <w:t>方式组织采购</w:t>
      </w:r>
      <w:r>
        <w:rPr/>
        <w:t>明珠湾起步区灵山岛尖C2单元高水平国际城市风貌管控技术服务（2022-2025）</w:t>
      </w:r>
      <w:r>
        <w:rPr/>
        <w:t>。欢迎符合资格条件的国内供应商参加投标。</w:t>
      </w:r>
    </w:p>
    <w:p>
      <w:r>
        <w:rPr>
          <w:b/>
          <w:sz w:val="28"/>
        </w:rPr>
        <w:t>一.项目概述</w:t>
      </w:r>
    </w:p>
    <w:p>
      <w:r>
        <w:rPr>
          <w:b/>
          <w:sz w:val="24"/>
        </w:rPr>
        <w:t>1.名称与编号</w:t>
      </w:r>
    </w:p>
    <w:p>
      <w:pPr>
        <w:ind w:firstLine="480"/>
      </w:pPr>
      <w:r>
        <w:rPr/>
        <w:t>项目名称：</w:t>
      </w:r>
      <w:r>
        <w:rPr/>
        <w:t>明珠湾起步区灵山岛尖C2单元高水平国际城市风貌管控技术服务（2022-2025）</w:t>
      </w:r>
    </w:p>
    <w:p>
      <w:pPr>
        <w:ind w:firstLine="480"/>
      </w:pPr>
      <w:r>
        <w:rPr/>
        <w:t>采购计划编号：</w:t>
      </w:r>
      <w:r>
        <w:rPr/>
        <w:t>440115-2022-03302</w:t>
      </w:r>
    </w:p>
    <w:p>
      <w:pPr>
        <w:ind w:firstLine="480"/>
      </w:pPr>
      <w:r>
        <w:rPr/>
        <w:t>采购项目编号：</w:t>
      </w:r>
      <w:r>
        <w:rPr/>
        <w:t>C001011-20220050</w:t>
      </w:r>
    </w:p>
    <w:p>
      <w:pPr>
        <w:ind w:firstLine="480"/>
      </w:pPr>
      <w:r>
        <w:rPr/>
        <w:t>采购方式：</w:t>
      </w:r>
      <w:r>
        <w:rPr/>
        <w:t>公开招标</w:t>
      </w:r>
    </w:p>
    <w:p>
      <w:pPr>
        <w:ind w:firstLine="480"/>
      </w:pPr>
      <w:r>
        <w:rPr/>
        <w:t>预算金额：</w:t>
      </w:r>
      <w:r>
        <w:rPr/>
        <w:t>3,528,000.00</w:t>
      </w:r>
      <w:r>
        <w:rPr/>
        <w:t>元</w:t>
      </w:r>
    </w:p>
    <w:p>
      <w:r>
        <w:rPr>
          <w:b/>
          <w:sz w:val="24"/>
        </w:rPr>
        <w:t>2.项目内容及需求情况（采购项目技术规格、参数及要求）</w:t>
      </w:r>
    </w:p>
    <w:p>
      <w:pPr>
        <w:ind w:firstLine="480"/>
      </w:pPr>
    </w:p>
    <w:p/>
    <w:p>
      <w:r>
        <w:rPr/>
        <w:t>采购包1(明珠湾起步区灵山岛尖C2单元高水平国际城市风貌管控技术服务（2022-2025）):</w:t>
      </w:r>
    </w:p>
    <w:p>
      <w:r>
        <w:rPr/>
        <w:t>采购包预算金额：3,528,000.00元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城市规划和设计服务</w:t>
            </w:r>
          </w:p>
        </w:tc>
        <w:tc>
          <w:tcPr>
            <w:tcW w:type="dxa" w:w="2052"/>
          </w:tcPr>
          <w:p>
            <w:r>
              <w:rPr/>
              <w:t>明珠湾起步区灵山岛尖C2单元高水平国际城市风貌管控技术服务（2022-2025）</w:t>
            </w:r>
          </w:p>
        </w:tc>
        <w:tc>
          <w:tcPr>
            <w:tcW w:type="dxa" w:w="977"/>
          </w:tcPr>
          <w:p>
            <w:r>
              <w:rPr/>
              <w:t>1.00(项)</w:t>
            </w:r>
          </w:p>
        </w:tc>
        <w:tc>
          <w:tcPr>
            <w:tcW w:type="dxa" w:w="977"/>
          </w:tcPr>
          <w:p>
            <w:r>
              <w:rPr/>
              <w:t>详见第二章</w:t>
            </w:r>
          </w:p>
        </w:tc>
        <w:tc>
          <w:tcPr>
            <w:tcW w:type="dxa" w:w="977"/>
          </w:tcPr>
          <w:p>
            <w:r>
              <w:rPr/>
              <w:t>3,528,000.00</w:t>
            </w:r>
          </w:p>
        </w:tc>
        <w:tc>
          <w:tcPr>
            <w:tcW w:type="dxa" w:w="977"/>
          </w:tcPr>
          <w:p>
            <w:r>
              <w:rPr/>
              <w:t>否</w:t>
            </w:r>
          </w:p>
        </w:tc>
      </w:tr>
    </w:tbl>
    <w:p/>
    <w:p>
      <w:r>
        <w:rPr/>
        <w:t>本采购包不接受联合体投标</w:t>
      </w:r>
    </w:p>
    <w:p/>
    <w:p>
      <w:r>
        <w:rPr/>
        <w:t>合同履行期限：服务期自双方签署本合同之日起计，地区城市总设计师咨询服务为期36个月。</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1）具有独立承担民事责任的能力：依据《投标函》及其附件，分支机构投标的，还须提供分支机构的营业执照（执业许可证）扫描件及总公司（总所）出具给分支机构的授权书。</w:t>
      </w:r>
    </w:p>
    <w:p/>
    <w:p>
      <w:r>
        <w:rPr/>
        <w:t>2）有依法缴纳税收和社会保障资金的良好记录：依据《投标函》；</w:t>
      </w:r>
    </w:p>
    <w:p/>
    <w:p>
      <w:r>
        <w:rPr/>
        <w:t>3）具有良好的商业信誉和健全的财务会计制度：依据《投标函》；</w:t>
      </w:r>
    </w:p>
    <w:p/>
    <w:p>
      <w:r>
        <w:rPr/>
        <w:t>4）履行合同所必需的设备和专业技术能力：依据《投标函》；</w:t>
      </w:r>
    </w:p>
    <w:p/>
    <w:p>
      <w:r>
        <w:rPr/>
        <w:t>5）参加采购活动前3年内，在经营活动中没有重大违法记录：依据《投标函》。</w:t>
      </w:r>
    </w:p>
    <w:p/>
    <w:p>
      <w:r>
        <w:rPr>
          <w:b/>
          <w:sz w:val="24"/>
        </w:rPr>
        <w:t>2.落实政府采购政策需满足的资格要求：</w:t>
      </w:r>
    </w:p>
    <w:p>
      <w:pPr>
        <w:ind w:firstLine="480"/>
      </w:pPr>
    </w:p>
    <w:p>
      <w:pPr>
        <w:jc w:val="left"/>
      </w:pPr>
    </w:p>
    <w:p>
      <w:r>
        <w:rPr/>
        <w:t>采购包1（明珠湾起步区灵山岛尖C2单元高水平国际城市风貌管控技术服务（2022-2025））：</w:t>
      </w:r>
      <w:r>
        <w:rPr/>
        <w:t>采购包不属于专门面向中小企业</w:t>
      </w:r>
      <w:r>
        <w:rPr/>
        <w:t>单位负责人为同一人或者彼此存在投资与被投资关系的、彼此的经营者、董事会（或同类管理机构）成员属于直系亲属或配偶关系的、法定代表人或单位负责人为同一人或者存在控股、管理关系的不同供应商，不得参加同一项目的投标；</w:t>
      </w:r>
      <w:r>
        <w:rPr/>
        <w:t>本项目不接受联合体投标。</w:t>
      </w:r>
    </w:p>
    <w:p/>
    <w:p>
      <w:r>
        <w:rPr>
          <w:b/>
          <w:sz w:val="24"/>
        </w:rPr>
        <w:t>3.本项目特定的资格要求：</w:t>
      </w:r>
    </w:p>
    <w:p>
      <w:pPr>
        <w:ind w:firstLine="480"/>
      </w:pPr>
    </w:p>
    <w:p/>
    <w:p>
      <w:r>
        <w:rPr/>
        <w:t>采购包1（明珠湾起步区灵山岛尖C2单元高水平国际城市风貌管控技术服务（2022-2025））：</w:t>
      </w:r>
    </w:p>
    <w:p/>
    <w:p>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广州市南沙新区明珠湾开发建设管理局</w:t>
      </w:r>
    </w:p>
    <w:p>
      <w:pPr>
        <w:ind w:firstLine="480"/>
      </w:pPr>
      <w:r>
        <w:rPr/>
        <w:t>地址：</w:t>
      </w:r>
      <w:r>
        <w:rPr/>
        <w:t>/</w:t>
      </w:r>
    </w:p>
    <w:p>
      <w:pPr>
        <w:ind w:firstLine="480"/>
      </w:pPr>
      <w:r>
        <w:rPr/>
        <w:t>联系方式：</w:t>
      </w:r>
      <w:r>
        <w:rPr/>
        <w:t>/</w:t>
      </w:r>
    </w:p>
    <w:p>
      <w:r>
        <w:rPr>
          <w:b/>
          <w:sz w:val="24"/>
        </w:rPr>
        <w:t>2.采购代理机构信息</w:t>
      </w:r>
    </w:p>
    <w:p>
      <w:pPr>
        <w:ind w:firstLine="480"/>
      </w:pPr>
      <w:r>
        <w:rPr/>
        <w:t>名称：</w:t>
      </w:r>
      <w:r>
        <w:rPr/>
        <w:t>广东国利招标有限公司</w:t>
      </w:r>
    </w:p>
    <w:p>
      <w:pPr>
        <w:ind w:firstLine="480"/>
      </w:pPr>
      <w:r>
        <w:rPr/>
        <w:t>地址：</w:t>
      </w:r>
      <w:r>
        <w:rPr/>
        <w:t>广州市天河区珠江新城保利克洛维中盈大厦22楼2202室</w:t>
      </w:r>
    </w:p>
    <w:p>
      <w:pPr>
        <w:ind w:firstLine="480"/>
      </w:pPr>
      <w:r>
        <w:rPr/>
        <w:t>联系方式：</w:t>
      </w:r>
      <w:r>
        <w:rPr/>
        <w:t>020-85200402</w:t>
      </w:r>
    </w:p>
    <w:p>
      <w:r>
        <w:rPr>
          <w:b/>
          <w:sz w:val="24"/>
        </w:rPr>
        <w:t>3.项目联系方式</w:t>
      </w:r>
    </w:p>
    <w:p>
      <w:pPr>
        <w:ind w:firstLine="480"/>
      </w:pPr>
      <w:r>
        <w:rPr/>
        <w:t>项目联系人：</w:t>
      </w:r>
      <w:r>
        <w:rPr/>
        <w:t>林小姐</w:t>
      </w:r>
    </w:p>
    <w:p>
      <w:pPr>
        <w:ind w:firstLine="480"/>
      </w:pPr>
      <w:r>
        <w:rPr/>
        <w:t>电话：</w:t>
      </w:r>
      <w:r>
        <w:rPr/>
        <w:t>020-85200402</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广东国利招标有限公司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p>
    <w:p>
      <w:pPr>
        <w:ind w:firstLine="480"/>
        <w:jc w:val="both"/>
      </w:pPr>
      <w:r>
        <w:rPr>
          <w:sz w:val="24"/>
        </w:rPr>
        <w:t>1.招标单位：广州市南沙新区明珠湾开发建设管理局</w:t>
      </w:r>
    </w:p>
    <w:p>
      <w:pPr>
        <w:jc w:val="both"/>
      </w:pPr>
      <w:r>
        <w:rPr>
          <w:sz w:val="24"/>
        </w:rPr>
        <w:t>2.项目名称：明珠湾起步区灵山岛尖C2单元高水平国际城市风貌管控技术服务（2022-2025）</w:t>
      </w:r>
    </w:p>
    <w:p>
      <w:pPr>
        <w:jc w:val="both"/>
      </w:pPr>
      <w:r>
        <w:rPr>
          <w:sz w:val="24"/>
        </w:rPr>
        <w:t>3.</w:t>
      </w:r>
      <w:r>
        <w:rPr>
          <w:sz w:val="24"/>
        </w:rPr>
        <w:t>资金来源：财政资金</w:t>
      </w:r>
    </w:p>
    <w:p>
      <w:pPr>
        <w:jc w:val="both"/>
      </w:pPr>
      <w:r>
        <w:rPr>
          <w:sz w:val="24"/>
        </w:rPr>
        <w:t>4.采</w:t>
      </w:r>
      <w:r>
        <w:rPr>
          <w:sz w:val="24"/>
        </w:rPr>
        <w:t>购内容：</w:t>
      </w:r>
    </w:p>
    <w:tbl>
      <w:tblPr>
        <w:tblW w:w="0" w:type="auto"/>
        <w:tblBorders>
          <w:top w:val="none" w:color="000000" w:sz="4"/>
          <w:left w:val="none" w:color="000000" w:sz="4"/>
          <w:bottom w:val="none" w:color="000000" w:sz="4"/>
          <w:right w:val="none" w:color="000000" w:sz="4"/>
          <w:insideH w:val="none"/>
          <w:insideV w:val="none"/>
        </w:tblBorders>
      </w:tblPr>
      <w:tblGrid>
        <w:gridCol w:w="2154"/>
        <w:gridCol w:w="794"/>
        <w:gridCol w:w="808"/>
        <w:gridCol w:w="1844"/>
        <w:gridCol w:w="2706"/>
      </w:tblGrid>
      <w:tr>
        <w:tc>
          <w:tcPr>
            <w:tcW w:type="dxa" w:w="2154"/>
            <w:tcBorders>
              <w:top w:val="single" w:color="000000" w:sz="4"/>
              <w:left w:val="single" w:color="000000" w:sz="4"/>
              <w:bottom w:val="single" w:color="000000" w:sz="4"/>
              <w:right w:val="single" w:color="000000" w:sz="4"/>
            </w:tcBorders>
            <w:shd w:fill="E0E0E0"/>
            <w:vAlign w:val="top"/>
          </w:tcPr>
          <w:p>
            <w:pPr>
              <w:jc w:val="center"/>
            </w:pPr>
            <w:r>
              <w:rPr>
                <w:b/>
                <w:sz w:val="24"/>
                <w:u w:val="single"/>
              </w:rPr>
              <w:t>项目名称</w:t>
            </w:r>
          </w:p>
        </w:tc>
        <w:tc>
          <w:tcPr>
            <w:tcW w:type="dxa" w:w="794"/>
            <w:tcBorders>
              <w:top w:val="single" w:color="000000" w:sz="4"/>
              <w:left w:val="none" w:color="000000" w:sz="4"/>
              <w:bottom w:val="single" w:color="000000" w:sz="4"/>
              <w:right w:val="single" w:color="000000" w:sz="4"/>
            </w:tcBorders>
            <w:shd w:fill="E0E0E0"/>
            <w:vAlign w:val="top"/>
          </w:tcPr>
          <w:p>
            <w:pPr>
              <w:jc w:val="center"/>
            </w:pPr>
            <w:r>
              <w:rPr>
                <w:b/>
                <w:sz w:val="24"/>
                <w:u w:val="single"/>
              </w:rPr>
              <w:t>类</w:t>
            </w:r>
            <w:r>
              <w:rPr>
                <w:b/>
                <w:sz w:val="24"/>
                <w:u w:val="single"/>
              </w:rPr>
              <w:t>别</w:t>
            </w:r>
          </w:p>
        </w:tc>
        <w:tc>
          <w:tcPr>
            <w:tcW w:type="dxa" w:w="808"/>
            <w:tcBorders>
              <w:top w:val="single" w:color="000000" w:sz="4"/>
              <w:left w:val="none" w:color="000000" w:sz="4"/>
              <w:bottom w:val="single" w:color="000000" w:sz="4"/>
              <w:right w:val="single" w:color="000000" w:sz="4"/>
            </w:tcBorders>
            <w:shd w:fill="E0E0E0"/>
            <w:vAlign w:val="top"/>
          </w:tcPr>
          <w:p>
            <w:pPr>
              <w:jc w:val="center"/>
            </w:pPr>
            <w:r>
              <w:rPr>
                <w:b/>
                <w:sz w:val="24"/>
                <w:u w:val="single"/>
              </w:rPr>
              <w:t>数</w:t>
            </w:r>
            <w:r>
              <w:rPr>
                <w:b/>
                <w:sz w:val="24"/>
                <w:u w:val="single"/>
              </w:rPr>
              <w:t>量</w:t>
            </w:r>
          </w:p>
        </w:tc>
        <w:tc>
          <w:tcPr>
            <w:tcW w:type="dxa" w:w="1844"/>
            <w:tcBorders>
              <w:top w:val="single" w:color="000000" w:sz="4"/>
              <w:left w:val="none" w:color="000000" w:sz="4"/>
              <w:bottom w:val="single" w:color="000000" w:sz="4"/>
              <w:right w:val="single" w:color="000000" w:sz="4"/>
            </w:tcBorders>
            <w:shd w:fill="E0E0E0"/>
            <w:vAlign w:val="top"/>
          </w:tcPr>
          <w:p>
            <w:pPr>
              <w:jc w:val="center"/>
            </w:pPr>
            <w:r>
              <w:rPr>
                <w:b/>
                <w:sz w:val="24"/>
                <w:u w:val="single"/>
              </w:rPr>
              <w:t>服务期限</w:t>
            </w:r>
          </w:p>
        </w:tc>
        <w:tc>
          <w:tcPr>
            <w:tcW w:type="dxa" w:w="2706"/>
            <w:tcBorders>
              <w:top w:val="single" w:color="000000" w:sz="4"/>
              <w:left w:val="none" w:color="000000" w:sz="4"/>
              <w:bottom w:val="single" w:color="000000" w:sz="4"/>
              <w:right w:val="single" w:color="000000" w:sz="4"/>
            </w:tcBorders>
            <w:shd w:fill="E0E0E0"/>
            <w:vAlign w:val="top"/>
          </w:tcPr>
          <w:p>
            <w:pPr>
              <w:jc w:val="center"/>
            </w:pPr>
            <w:r>
              <w:rPr>
                <w:b/>
                <w:sz w:val="24"/>
                <w:u w:val="single"/>
              </w:rPr>
              <w:t>最高限价（人民币）</w:t>
            </w:r>
          </w:p>
        </w:tc>
      </w:tr>
      <w:tr>
        <w:tc>
          <w:tcPr>
            <w:tcW w:type="dxa" w:w="2154"/>
            <w:tcBorders>
              <w:top w:val="none" w:color="000000" w:sz="4"/>
              <w:left w:val="single" w:color="000000" w:sz="4"/>
              <w:bottom w:val="single" w:color="000000" w:sz="4"/>
              <w:right w:val="single" w:color="000000" w:sz="4"/>
            </w:tcBorders>
            <w:vAlign w:val="top"/>
          </w:tcPr>
          <w:p>
            <w:pPr>
              <w:jc w:val="center"/>
            </w:pPr>
            <w:r>
              <w:rPr>
                <w:sz w:val="24"/>
                <w:u w:val="single"/>
              </w:rPr>
              <w:t>明珠湾起步区灵山岛尖</w:t>
            </w:r>
            <w:r>
              <w:rPr>
                <w:sz w:val="24"/>
                <w:u w:val="single"/>
              </w:rPr>
              <w:t>C2单元高水平国际城市风貌管控技术服务（2022-2025）</w:t>
            </w:r>
          </w:p>
        </w:tc>
        <w:tc>
          <w:tcPr>
            <w:tcW w:type="dxa" w:w="794"/>
            <w:tcBorders>
              <w:top w:val="none" w:color="000000" w:sz="4"/>
              <w:left w:val="none" w:color="000000" w:sz="4"/>
              <w:bottom w:val="single" w:color="000000" w:sz="4"/>
              <w:right w:val="single" w:color="000000" w:sz="4"/>
            </w:tcBorders>
            <w:vAlign w:val="top"/>
          </w:tcPr>
          <w:p>
            <w:pPr>
              <w:jc w:val="center"/>
            </w:pPr>
            <w:r>
              <w:rPr>
                <w:sz w:val="24"/>
                <w:u w:val="single"/>
              </w:rPr>
              <w:t>服务类</w:t>
            </w:r>
          </w:p>
        </w:tc>
        <w:tc>
          <w:tcPr>
            <w:tcW w:type="dxa" w:w="808"/>
            <w:tcBorders>
              <w:top w:val="none" w:color="000000" w:sz="4"/>
              <w:left w:val="none" w:color="000000" w:sz="4"/>
              <w:bottom w:val="single" w:color="000000" w:sz="4"/>
              <w:right w:val="single" w:color="000000" w:sz="4"/>
            </w:tcBorders>
            <w:vAlign w:val="top"/>
          </w:tcPr>
          <w:p>
            <w:pPr>
              <w:jc w:val="center"/>
            </w:pPr>
            <w:r>
              <w:rPr>
                <w:sz w:val="24"/>
                <w:u w:val="single"/>
              </w:rPr>
              <w:t>1项</w:t>
            </w:r>
          </w:p>
        </w:tc>
        <w:tc>
          <w:tcPr>
            <w:tcW w:type="dxa" w:w="1844"/>
            <w:tcBorders>
              <w:top w:val="none" w:color="000000" w:sz="4"/>
              <w:left w:val="none" w:color="000000" w:sz="4"/>
              <w:bottom w:val="single" w:color="000000" w:sz="4"/>
              <w:right w:val="single" w:color="000000" w:sz="4"/>
            </w:tcBorders>
            <w:vAlign w:val="top"/>
          </w:tcPr>
          <w:p>
            <w:pPr>
              <w:jc w:val="both"/>
            </w:pPr>
            <w:r>
              <w:rPr>
                <w:sz w:val="24"/>
              </w:rPr>
              <w:t>服务期自双方签署本合同之日起计，地区城市总设计师咨询服务为期</w:t>
            </w:r>
            <w:r>
              <w:rPr>
                <w:sz w:val="24"/>
              </w:rPr>
              <w:t>36</w:t>
            </w:r>
            <w:r>
              <w:rPr>
                <w:sz w:val="24"/>
              </w:rPr>
              <w:t>个月</w:t>
            </w:r>
            <w:r>
              <w:rPr>
                <w:sz w:val="24"/>
              </w:rPr>
              <w:t>。</w:t>
            </w:r>
            <w:r>
              <w:rPr>
                <w:sz w:val="24"/>
              </w:rPr>
              <w:t xml:space="preserve"> </w:t>
            </w:r>
          </w:p>
        </w:tc>
        <w:tc>
          <w:tcPr>
            <w:tcW w:type="dxa" w:w="2706"/>
            <w:tcBorders>
              <w:top w:val="none" w:color="000000" w:sz="4"/>
              <w:left w:val="none" w:color="000000" w:sz="4"/>
              <w:bottom w:val="single" w:color="000000" w:sz="4"/>
              <w:right w:val="single" w:color="000000" w:sz="4"/>
            </w:tcBorders>
            <w:vAlign w:val="top"/>
          </w:tcPr>
          <w:p>
            <w:pPr>
              <w:jc w:val="center"/>
            </w:pPr>
            <w:r>
              <w:rPr>
                <w:b/>
                <w:sz w:val="24"/>
                <w:u w:val="single"/>
              </w:rPr>
              <w:t>¥</w:t>
            </w:r>
            <w:r>
              <w:rPr>
                <w:b/>
                <w:sz w:val="24"/>
                <w:u w:val="single"/>
              </w:rPr>
              <w:t>352.8</w:t>
            </w:r>
            <w:r>
              <w:rPr>
                <w:b/>
                <w:sz w:val="24"/>
                <w:u w:val="single"/>
              </w:rPr>
              <w:t>0万元</w:t>
            </w:r>
          </w:p>
          <w:p>
            <w:pPr>
              <w:jc w:val="center"/>
            </w:pPr>
            <w:r>
              <w:rPr>
                <w:b/>
                <w:sz w:val="24"/>
                <w:u w:val="single"/>
              </w:rPr>
              <w:t>投标报价超出最高限价投标无效</w:t>
            </w:r>
          </w:p>
        </w:tc>
      </w:tr>
    </w:tbl>
    <w:p>
      <w:pPr>
        <w:jc w:val="both"/>
      </w:pPr>
      <w:r>
        <w:rPr>
          <w:sz w:val="24"/>
          <w:u w:val="single"/>
        </w:rPr>
        <w:t>注：投标人应对本项目全部内容进行投标，不允许只对其中部分内容进行投标，任何只对其中部分内容进行的投标均被视为无效投标。</w:t>
      </w:r>
    </w:p>
    <w:p>
      <w:pPr>
        <w:jc w:val="both"/>
      </w:pPr>
    </w:p>
    <w:p/>
    <w:p>
      <w:pPr>
        <w:ind w:firstLine="480"/>
      </w:pPr>
    </w:p>
    <w:p/>
    <w:p>
      <w:r>
        <w:rPr/>
        <w:t>采购包1（明珠湾起步区灵山岛尖C2单元高水平国际城市风貌管控技术服务（2022-2025））：</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自合同签订之日起3年</w:t>
            </w:r>
          </w:p>
        </w:tc>
      </w:tr>
      <w:tr>
        <w:tc>
          <w:tcPr>
            <w:tcW w:type="dxa" w:w="4153"/>
          </w:tcPr>
          <w:p>
            <w:r>
              <w:rPr/>
              <w:t>标的提供的地点</w:t>
            </w:r>
          </w:p>
        </w:tc>
        <w:tc>
          <w:tcPr>
            <w:tcW w:type="dxa" w:w="4153"/>
          </w:tcPr>
          <w:p>
            <w:pPr>
              <w:jc w:val="left"/>
            </w:pPr>
          </w:p>
          <w:p>
            <w:r>
              <w:rPr/>
              <w:t>按采购人要求</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1期：支付比例11%，1.本合同工作包含明珠湾起步区灵山岛尖C2单元所有地块项目，其中未出让地块数量为20块，若进行最后一笔支付时，剩余未出让地块数量4块及以上，则合同额降低至原合同额的90%。 支付时间和方式如下： 第一次支付，合同签订后，甲方收到乙方提供的发票后5个工作日内办理支付手续，甲方按照有关程序向广州市南沙区财政部门申请核拨服务费总额的11%于乙方。</w:t>
            </w:r>
          </w:p>
          <w:p/>
          <w:p>
            <w:r>
              <w:rPr/>
              <w:t>2期：支付比例30%，第二次支付，即2023年6月前，乙方提交2022年度成果后，甲方按照有关程序向广州市南沙区财政部门申请核拨服务费总额的30%于乙方。</w:t>
            </w:r>
          </w:p>
          <w:p/>
          <w:p>
            <w:r>
              <w:rPr/>
              <w:t>3期：支付比例30%，第三次支付，即2024年6月前，乙方提交2023年度成果后，甲方按照有关程序向广州市南沙区财政部门申请核拨服务费总额的30%于乙方。</w:t>
            </w:r>
          </w:p>
          <w:p/>
          <w:p>
            <w:r>
              <w:rPr/>
              <w:t>4期：支付比例29%，第四次支付，即2025年6月前，乙方提交2024年度成果后，甲方按照有关程序向广州市南沙区财政部门申请核拨服务费总额的29%于乙方。若剩余未出让地块数量4块及以上，则合同额降低至原合同额的90%，甲方按照有关程序向广州市南沙区财政部门申请核拨服务费总额的19%于乙方。 2.甲方付款前，乙方须提供等额合法有效发票和支付申请，因乙方未及时提供发票等原因致使甲方逾期付款的，责任由乙方承担；乙方未提供发票和支付申请给甲方的，甲方可以顺延付款日期。由于乙 方未能按期完成相应阶段工作，甲方有权顺延付款日期。 3.每次支付进度与额度以区财政局批复为准。 3.1 甲方付款时间为向政府财政部门提出办理财政支付申请手续的时间（不含政府财政部门审核时间），甲方在约定时间提出支付申请手续视为按期支付。 3.2合同生效后，因政府财政部门未批复财政预算或批复财政预算不足，致使逾期支付，不视为甲方违约；甲方可顺延至政府财政部门预算批复通过后支付。 甲方通过公对公银行转账的方式向乙方提供的如下唯一收款账号支付服务报酬。如乙方收款账号发生变化的，应当提前7个工作日书面通知甲方，否则由此造成的损失由乙方自行承担。</w:t>
            </w:r>
          </w:p>
        </w:tc>
      </w:tr>
      <w:tr>
        <w:tc>
          <w:tcPr>
            <w:tcW w:type="dxa" w:w="4153"/>
          </w:tcPr>
          <w:p>
            <w:r>
              <w:rPr/>
              <w:t>验收要求</w:t>
            </w:r>
          </w:p>
        </w:tc>
        <w:tc>
          <w:tcPr>
            <w:tcW w:type="dxa" w:w="4153"/>
          </w:tcPr>
          <w:p>
            <w:pPr>
              <w:jc w:val="left"/>
            </w:pPr>
          </w:p>
          <w:p/>
          <w:p/>
          <w:p>
            <w:r>
              <w:rPr/>
              <w:t>1期：1．乙方完成技术服务工作的形式：实地开展现场调研；配合成果审查会议汇报；按项目进展需要提交《明珠湾起步区灵山岛尖C2单元高水平国际城市风貌管控技术服务（2022-2025）》纸质文件及电子版并在服务期限内提供技术支持。 2、乙方项目组成员(见合同附件)在项目研究成果验收完成前，未经甲方同意不得调整，否则甲方有权终止合同，由此造成的损失须由乙方承担。 3．技术服务工作成果的验收标准：此项工作成果为咨询意见或审查报告，必须包含招标文件“地区城市总设计师工作要求”的相关内容。 4.技术服务工作成果的验收方法：本项工作采取分阶段、分项目审查的方式，乙方负责提供相关项目的审查意见，甲方按年度负责组织年度小结审查工作。 5.验收的时间和地点：按甲方要求进行。</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合同履行期限:服务期自双方签署本合同之日起计，地区城市总设计师咨询服务为期36个月。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城市规划和设计服务</w:t>
            </w:r>
          </w:p>
        </w:tc>
        <w:tc>
          <w:tcPr>
            <w:tcW w:type="dxa" w:w="1923"/>
          </w:tcPr>
          <w:p>
            <w:r>
              <w:rPr/>
              <w:t>明珠湾起步区灵山岛尖C2单元高水平国际城市风貌管控技术服务（2022-2025）</w:t>
            </w:r>
          </w:p>
        </w:tc>
        <w:tc>
          <w:tcPr>
            <w:tcW w:type="dxa" w:w="385"/>
          </w:tcPr>
          <w:p>
            <w:r>
              <w:rPr/>
              <w:t>项</w:t>
            </w:r>
          </w:p>
        </w:tc>
        <w:tc>
          <w:tcPr>
            <w:tcW w:type="dxa" w:w="769"/>
          </w:tcPr>
          <w:p>
            <w:pPr>
              <w:jc w:val="right"/>
            </w:pPr>
            <w:r>
              <w:rPr/>
              <w:t>1.00</w:t>
            </w:r>
          </w:p>
        </w:tc>
        <w:tc>
          <w:tcPr>
            <w:tcW w:type="dxa" w:w="769"/>
          </w:tcPr>
          <w:p>
            <w:pPr>
              <w:jc w:val="right"/>
            </w:pPr>
            <w:r>
              <w:rPr/>
              <w:t>3,528,000.00</w:t>
            </w:r>
          </w:p>
        </w:tc>
        <w:tc>
          <w:tcPr>
            <w:tcW w:type="dxa" w:w="769"/>
          </w:tcPr>
          <w:p>
            <w:pPr>
              <w:jc w:val="right"/>
            </w:pPr>
            <w:r>
              <w:rPr/>
              <w:t>3,528,000.00</w:t>
            </w:r>
          </w:p>
        </w:tc>
        <w:tc>
          <w:tcPr>
            <w:tcW w:type="dxa" w:w="769"/>
          </w:tcPr>
          <w:p>
            <w:r>
              <w:rPr/>
              <w:t>其他未列明行业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明珠湾起步区灵山岛尖C2单元高水平国际城市风貌管控技术服务（2022-2025）</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82"/>
              <w:jc w:val="both"/>
            </w:pPr>
          </w:p>
          <w:p>
            <w:pPr>
              <w:ind w:firstLine="482"/>
              <w:jc w:val="both"/>
            </w:pPr>
            <w:r>
              <w:rPr>
                <w:b/>
                <w:sz w:val="24"/>
              </w:rPr>
              <w:t>一、地区城市总设计师工作要求</w:t>
            </w:r>
          </w:p>
          <w:p>
            <w:pPr>
              <w:ind w:firstLine="480"/>
              <w:jc w:val="both"/>
            </w:pPr>
            <w:r>
              <w:rPr>
                <w:sz w:val="24"/>
              </w:rPr>
              <w:t>1.</w:t>
            </w:r>
            <w:r>
              <w:rPr>
                <w:sz w:val="24"/>
              </w:rPr>
              <w:t>标的名称：明珠湾起步区灵山岛尖</w:t>
            </w:r>
            <w:r>
              <w:rPr>
                <w:sz w:val="24"/>
              </w:rPr>
              <w:t>C2</w:t>
            </w:r>
            <w:r>
              <w:rPr>
                <w:sz w:val="24"/>
              </w:rPr>
              <w:t>单元高水平国际城市风貌管控技术服务（</w:t>
            </w:r>
            <w:r>
              <w:rPr>
                <w:sz w:val="24"/>
              </w:rPr>
              <w:t>2022-2025</w:t>
            </w:r>
            <w:r>
              <w:rPr>
                <w:sz w:val="24"/>
              </w:rPr>
              <w:t>）</w:t>
            </w:r>
          </w:p>
          <w:p>
            <w:pPr>
              <w:ind w:firstLine="480"/>
              <w:jc w:val="both"/>
            </w:pPr>
            <w:r>
              <w:rPr>
                <w:sz w:val="24"/>
              </w:rPr>
              <w:t>2.</w:t>
            </w:r>
            <w:r>
              <w:rPr>
                <w:sz w:val="24"/>
              </w:rPr>
              <w:t>标的数量：</w:t>
            </w:r>
            <w:r>
              <w:rPr>
                <w:sz w:val="24"/>
              </w:rPr>
              <w:t>1</w:t>
            </w:r>
          </w:p>
          <w:p>
            <w:pPr>
              <w:ind w:firstLine="480"/>
              <w:jc w:val="both"/>
            </w:pPr>
            <w:r>
              <w:rPr>
                <w:sz w:val="24"/>
              </w:rPr>
              <w:t>3.</w:t>
            </w:r>
            <w:r>
              <w:rPr>
                <w:sz w:val="24"/>
              </w:rPr>
              <w:t>主要功能或目标：明珠湾起步区灵山岛尖</w:t>
            </w:r>
            <w:r>
              <w:rPr>
                <w:sz w:val="24"/>
              </w:rPr>
              <w:t>C2</w:t>
            </w:r>
            <w:r>
              <w:rPr>
                <w:sz w:val="24"/>
              </w:rPr>
              <w:t>单元高水平国际城市风貌管控技术服务工作范围位于南沙明珠湾区灵山岛尖</w:t>
            </w:r>
            <w:r>
              <w:rPr>
                <w:sz w:val="24"/>
              </w:rPr>
              <w:t>C2</w:t>
            </w:r>
            <w:r>
              <w:rPr>
                <w:sz w:val="24"/>
              </w:rPr>
              <w:t>单元，范围东至灵山岛尖、西至凤凰大桥、南至上横沥水道、北至蕉门水道。用地总面积</w:t>
            </w:r>
            <w:r>
              <w:rPr>
                <w:sz w:val="24"/>
              </w:rPr>
              <w:t>164</w:t>
            </w:r>
            <w:r>
              <w:rPr>
                <w:sz w:val="24"/>
              </w:rPr>
              <w:t>公顷。</w:t>
            </w:r>
          </w:p>
          <w:p>
            <w:pPr>
              <w:ind w:firstLine="480"/>
              <w:jc w:val="both"/>
            </w:pPr>
            <w:r>
              <w:rPr>
                <w:sz w:val="24"/>
              </w:rPr>
              <w:t>4.</w:t>
            </w:r>
            <w:r>
              <w:rPr>
                <w:sz w:val="24"/>
              </w:rPr>
              <w:t>拟采购</w:t>
            </w:r>
            <w:r>
              <w:rPr>
                <w:sz w:val="24"/>
              </w:rPr>
              <w:t>C2</w:t>
            </w:r>
            <w:r>
              <w:rPr>
                <w:sz w:val="24"/>
              </w:rPr>
              <w:t>单元的总师技术咨询服务，内容如下：</w:t>
            </w:r>
            <w:r>
              <w:rPr>
                <w:sz w:val="24"/>
              </w:rPr>
              <w:t>① 充分发挥</w:t>
            </w:r>
            <w:r>
              <w:rPr>
                <w:sz w:val="24"/>
              </w:rPr>
              <w:t>地区总设计师</w:t>
            </w:r>
            <w:r>
              <w:rPr>
                <w:sz w:val="24"/>
              </w:rPr>
              <w:t>的技术参谋与技术把关作用，负责对明珠湾起步区灵山岛尖</w:t>
            </w:r>
            <w:r>
              <w:rPr>
                <w:sz w:val="24"/>
              </w:rPr>
              <w:t>C2</w:t>
            </w:r>
            <w:r>
              <w:rPr>
                <w:sz w:val="24"/>
              </w:rPr>
              <w:t>单元范围内的各个专项规划编制成果、规划实施业务提供书面审查及咨询意见；负责对具体地块规划指标调整的论证提供咨询意见。</w:t>
            </w:r>
          </w:p>
          <w:p>
            <w:pPr>
              <w:jc w:val="both"/>
            </w:pPr>
            <w:r>
              <w:rPr>
                <w:sz w:val="24"/>
              </w:rPr>
              <w:t>② 加强城市风貌管控，力促城市规划、各类设计、建设实施、维护管养等各环节有效连接，紧密衔接好城市设计成果，为明珠湾管理局管理工作及南沙区规自局行政审批提供依据，为明珠湾起步区的开发建设提供有力的技术支持。</w:t>
            </w:r>
          </w:p>
          <w:p>
            <w:pPr>
              <w:jc w:val="both"/>
            </w:pPr>
            <w:r>
              <w:rPr>
                <w:sz w:val="24"/>
              </w:rPr>
              <w:t>③ 针对一级开发项目：涉及人性界面、滨水景观、地下空间、公共设施、慢行系统、连廊系统、城市家具等内容提供咨询意见与建议，参与相关技术会议，指导一级开发设计团队落实城市设计导则各项指标与控制要求。</w:t>
            </w:r>
          </w:p>
          <w:p>
            <w:pPr>
              <w:jc w:val="both"/>
            </w:pPr>
            <w:r>
              <w:rPr>
                <w:sz w:val="24"/>
              </w:rPr>
              <w:t>④ 针对二级出让地块：地块出让前，对地块的出让条件提供技术咨询；在地块出让后，对规划设计方案进行把控；地块实施建设后，对景观风貌、公共空间（含地块实施部分）的效果进行把关，并提出优化建议。</w:t>
            </w:r>
          </w:p>
          <w:p>
            <w:pPr>
              <w:jc w:val="both"/>
            </w:pPr>
            <w:r>
              <w:rPr>
                <w:sz w:val="24"/>
              </w:rPr>
              <w:t>⑤ 针对一、二级开发方案中关于慢行节点衔接、景观绿化方案、公共连廊方案、空间利用方案等进行把关。</w:t>
            </w:r>
          </w:p>
          <w:p>
            <w:pPr>
              <w:jc w:val="both"/>
            </w:pPr>
            <w:r>
              <w:rPr>
                <w:sz w:val="24"/>
              </w:rPr>
              <w:t xml:space="preserve">    5.工作成果：以书面文件形式将</w:t>
            </w:r>
            <w:r>
              <w:rPr>
                <w:sz w:val="24"/>
              </w:rPr>
              <w:t>审</w:t>
            </w:r>
            <w:r>
              <w:rPr>
                <w:sz w:val="24"/>
              </w:rPr>
              <w:t>查意见提交</w:t>
            </w:r>
            <w:r>
              <w:rPr>
                <w:sz w:val="24"/>
              </w:rPr>
              <w:t>广州市南沙新区明珠湾开发建设管理局。</w:t>
            </w:r>
          </w:p>
          <w:p>
            <w:pPr>
              <w:ind w:firstLine="480"/>
              <w:jc w:val="both"/>
            </w:pPr>
            <w:r>
              <w:rPr>
                <w:sz w:val="24"/>
              </w:rPr>
              <w:t>6</w:t>
            </w:r>
            <w:r>
              <w:rPr>
                <w:sz w:val="24"/>
              </w:rPr>
              <w:t>.</w:t>
            </w:r>
            <w:r>
              <w:rPr>
                <w:sz w:val="24"/>
              </w:rPr>
              <w:t>工作时间：地区城市总设计师的第一阶段工作时间跨度暂 定为</w:t>
            </w:r>
            <w:r>
              <w:rPr>
                <w:sz w:val="24"/>
              </w:rPr>
              <w:t>3</w:t>
            </w:r>
            <w:r>
              <w:rPr>
                <w:sz w:val="24"/>
              </w:rPr>
              <w:t>年</w:t>
            </w:r>
            <w:r>
              <w:rPr>
                <w:sz w:val="24"/>
              </w:rPr>
              <w:t>(2022-2025</w:t>
            </w:r>
            <w:r>
              <w:rPr>
                <w:sz w:val="24"/>
              </w:rPr>
              <w:t>年</w:t>
            </w:r>
            <w:r>
              <w:rPr>
                <w:sz w:val="24"/>
              </w:rPr>
              <w:t>6</w:t>
            </w:r>
            <w:r>
              <w:rPr>
                <w:sz w:val="24"/>
              </w:rPr>
              <w:t>月</w:t>
            </w:r>
            <w:r>
              <w:rPr>
                <w:sz w:val="24"/>
              </w:rPr>
              <w:t>)</w:t>
            </w:r>
            <w:r>
              <w:rPr>
                <w:sz w:val="24"/>
              </w:rPr>
              <w:t>，到期后可按本需求书的工作框架与相关收费标准，签订补充协议，延长服务时间。</w:t>
            </w:r>
          </w:p>
          <w:p>
            <w:pPr>
              <w:ind w:firstLine="480"/>
              <w:jc w:val="both"/>
            </w:pPr>
            <w:r>
              <w:rPr>
                <w:sz w:val="24"/>
              </w:rPr>
              <w:t>7</w:t>
            </w:r>
            <w:r>
              <w:rPr>
                <w:sz w:val="24"/>
              </w:rPr>
              <w:t>.</w:t>
            </w:r>
            <w:r>
              <w:rPr>
                <w:sz w:val="24"/>
              </w:rPr>
              <w:t>工作协调：明珠湾起步区单元建设单位及其设计单位接受地区城市总设计师及其工作团队的技术指导。</w:t>
            </w:r>
          </w:p>
          <w:p>
            <w:pPr>
              <w:ind w:firstLine="480"/>
              <w:jc w:val="both"/>
            </w:pPr>
            <w:r>
              <w:rPr>
                <w:sz w:val="24"/>
              </w:rPr>
              <w:t>8</w:t>
            </w:r>
            <w:r>
              <w:rPr>
                <w:sz w:val="24"/>
              </w:rPr>
              <w:t>.</w:t>
            </w:r>
            <w:r>
              <w:rPr>
                <w:sz w:val="24"/>
              </w:rPr>
              <w:t>工作对接：建立与</w:t>
            </w:r>
            <w:r>
              <w:rPr>
                <w:sz w:val="24"/>
              </w:rPr>
              <w:t>广州市南沙新区明珠湾开发建设管理局</w:t>
            </w:r>
            <w:r>
              <w:rPr>
                <w:sz w:val="24"/>
              </w:rPr>
              <w:t>相关部门及南沙区国土资源和规划局的工作对接机制。</w:t>
            </w:r>
          </w:p>
          <w:p>
            <w:pPr>
              <w:ind w:firstLine="480"/>
              <w:jc w:val="both"/>
            </w:pPr>
            <w:r>
              <w:rPr>
                <w:sz w:val="24"/>
              </w:rPr>
              <w:t>9</w:t>
            </w:r>
            <w:r>
              <w:rPr>
                <w:sz w:val="24"/>
              </w:rPr>
              <w:t>.</w:t>
            </w:r>
            <w:r>
              <w:rPr>
                <w:sz w:val="24"/>
              </w:rPr>
              <w:t>其它要求：</w:t>
            </w:r>
          </w:p>
          <w:p>
            <w:pPr>
              <w:ind w:firstLine="480"/>
              <w:jc w:val="both"/>
            </w:pPr>
            <w:r>
              <w:rPr>
                <w:sz w:val="24"/>
              </w:rPr>
              <w:t>(1)</w:t>
            </w:r>
            <w:r>
              <w:rPr>
                <w:sz w:val="24"/>
              </w:rPr>
              <w:t>项目负责人应具有注册建筑师或注册城乡规划师执业证书</w:t>
            </w:r>
            <w:r>
              <w:rPr>
                <w:sz w:val="24"/>
              </w:rPr>
              <w:t>，且具有</w:t>
            </w:r>
            <w:r>
              <w:rPr>
                <w:sz w:val="24"/>
              </w:rPr>
              <w:t>高级及以上职称</w:t>
            </w:r>
            <w:r>
              <w:rPr>
                <w:sz w:val="24"/>
              </w:rPr>
              <w:t>，</w:t>
            </w:r>
            <w:r>
              <w:rPr>
                <w:sz w:val="24"/>
              </w:rPr>
              <w:t>具备中国工程院院士或全国工程勘察设计师大师称号</w:t>
            </w:r>
            <w:r>
              <w:rPr>
                <w:sz w:val="24"/>
              </w:rPr>
              <w:t>，</w:t>
            </w:r>
            <w:r>
              <w:rPr>
                <w:sz w:val="24"/>
              </w:rPr>
              <w:t>具有主持总设计师服务项目的相关经验。</w:t>
            </w:r>
          </w:p>
          <w:p>
            <w:pPr>
              <w:ind w:firstLine="420"/>
              <w:jc w:val="left"/>
            </w:pPr>
            <w:r>
              <w:rPr>
                <w:sz w:val="24"/>
              </w:rPr>
              <w:t>（</w:t>
            </w:r>
            <w:r>
              <w:rPr>
                <w:sz w:val="24"/>
              </w:rPr>
              <w:t>2）团队成员（项目负责人除外）中应具有4人以上研究生学历，具有建筑学或城市规划或设计相关专业教授级高级工程师。</w:t>
            </w:r>
          </w:p>
          <w:p>
            <w:pPr>
              <w:ind w:firstLine="480"/>
              <w:jc w:val="both"/>
            </w:pPr>
            <w:r>
              <w:rPr>
                <w:sz w:val="24"/>
              </w:rPr>
              <w:t>（</w:t>
            </w:r>
            <w:r>
              <w:rPr>
                <w:sz w:val="24"/>
              </w:rPr>
              <w:t>3</w:t>
            </w:r>
            <w:r>
              <w:rPr>
                <w:sz w:val="24"/>
              </w:rPr>
              <w:t>）</w:t>
            </w:r>
            <w:r>
              <w:rPr>
                <w:sz w:val="24"/>
              </w:rPr>
              <w:t>具备中国工程院院士或全国工程勘察设计师大师称号</w:t>
            </w:r>
          </w:p>
          <w:p>
            <w:pPr>
              <w:ind w:firstLine="480"/>
              <w:jc w:val="both"/>
            </w:pPr>
            <w:r>
              <w:rPr>
                <w:sz w:val="24"/>
              </w:rPr>
              <w:t>(2)</w:t>
            </w:r>
            <w:r>
              <w:rPr>
                <w:sz w:val="24"/>
              </w:rPr>
              <w:t>投标人按需以参会或会办的方式参加：①土地出让前期方案研讨、②地段内相关规划及城市设计 研讨、③土地出让规划条件阶段、④地块初步方案咨询阶段、⑤地块修建性详细规划咨询阶段、⑥地块修 建性详细规划正式阶段、⑦地块建筑工程许可证咨询阶段、⑧地块建筑工程许可证正式阶段、⑨地块验收阶段等阶段涉及公共空间的相关会议或出具意见，协助项目工作推进。</w:t>
            </w:r>
          </w:p>
          <w:p>
            <w:pPr>
              <w:ind w:firstLine="480"/>
              <w:jc w:val="both"/>
            </w:pPr>
            <w:r>
              <w:rPr>
                <w:sz w:val="24"/>
              </w:rPr>
              <w:t>(</w:t>
            </w:r>
            <w:r>
              <w:rPr>
                <w:sz w:val="24"/>
              </w:rPr>
              <w:t>4</w:t>
            </w:r>
            <w:r>
              <w:rPr>
                <w:sz w:val="24"/>
              </w:rPr>
              <w:t>)</w:t>
            </w:r>
            <w:r>
              <w:rPr>
                <w:sz w:val="24"/>
              </w:rPr>
              <w:t>相关工作内容及流程</w:t>
            </w:r>
            <w:r>
              <w:rPr>
                <w:sz w:val="24"/>
              </w:rPr>
              <w:t>按</w:t>
            </w:r>
            <w:r>
              <w:rPr>
                <w:sz w:val="24"/>
              </w:rPr>
              <w:t>明珠湾起步区地区城市总设计师制度。</w:t>
            </w:r>
          </w:p>
          <w:p>
            <w:pPr>
              <w:ind w:firstLine="480"/>
              <w:jc w:val="both"/>
            </w:pPr>
            <w:r>
              <w:rPr>
                <w:sz w:val="24"/>
              </w:rPr>
              <w:t>(</w:t>
            </w:r>
            <w:r>
              <w:rPr>
                <w:sz w:val="24"/>
              </w:rPr>
              <w:t>5</w:t>
            </w:r>
            <w:r>
              <w:rPr>
                <w:sz w:val="24"/>
              </w:rPr>
              <w:t>)</w:t>
            </w:r>
            <w:r>
              <w:rPr>
                <w:sz w:val="24"/>
              </w:rPr>
              <w:t>本项目为总价包干，包括完成本项目的专家审查会、专家评审会、专家咨询会、人力成本、设备成本、管理费、利润、税金及其他不可预见费用等费用在内的全部费用。投标人漏报或不报，采购人视为该漏报或不报部分的费用已包括在报价中，不予另行支付。</w:t>
            </w:r>
          </w:p>
          <w:p>
            <w:pPr>
              <w:ind w:firstLine="480"/>
              <w:jc w:val="both"/>
            </w:pPr>
            <w:r>
              <w:rPr>
                <w:sz w:val="24"/>
              </w:rPr>
              <w:t>(</w:t>
            </w:r>
            <w:r>
              <w:rPr>
                <w:sz w:val="24"/>
              </w:rPr>
              <w:t>6</w:t>
            </w:r>
            <w:r>
              <w:rPr>
                <w:sz w:val="24"/>
              </w:rPr>
              <w:t>)</w:t>
            </w:r>
            <w:r>
              <w:rPr>
                <w:sz w:val="24"/>
              </w:rPr>
              <w:t>投标人必须自行考虑在本项目实施期间的一切可能产生的费用，在项目的实施过程中，采购人除了支付合同规定的款项外，一切合同规定外的费用将拒绝支付。</w:t>
            </w:r>
          </w:p>
          <w:p>
            <w:pPr>
              <w:ind w:firstLine="480"/>
              <w:jc w:val="both"/>
            </w:pPr>
            <w:r>
              <w:rPr>
                <w:sz w:val="24"/>
              </w:rPr>
              <w:t>(</w:t>
            </w:r>
            <w:r>
              <w:rPr>
                <w:sz w:val="24"/>
              </w:rPr>
              <w:t>7</w:t>
            </w:r>
            <w:r>
              <w:rPr>
                <w:sz w:val="24"/>
              </w:rPr>
              <w:t>)</w:t>
            </w:r>
            <w:r>
              <w:rPr>
                <w:sz w:val="24"/>
              </w:rPr>
              <w:t>投标人应按需参加采购人要求的所有相关会议并完成所有相关工作，并按照要求及时回复相关意见。</w:t>
            </w:r>
          </w:p>
          <w:p>
            <w:pPr>
              <w:ind w:firstLine="482"/>
              <w:jc w:val="both"/>
            </w:pPr>
            <w:r>
              <w:rPr>
                <w:b/>
                <w:sz w:val="24"/>
              </w:rPr>
              <w:t>二、成果要求</w:t>
            </w:r>
          </w:p>
          <w:p>
            <w:pPr>
              <w:ind w:firstLine="480"/>
              <w:jc w:val="both"/>
            </w:pPr>
            <w:r>
              <w:rPr>
                <w:sz w:val="24"/>
              </w:rPr>
              <w:t>1.</w:t>
            </w:r>
            <w:r>
              <w:rPr>
                <w:sz w:val="24"/>
              </w:rPr>
              <w:t>工作成果内容必须符合招标文件用户需求中的总则、工作任务有关要求的规定。</w:t>
            </w:r>
          </w:p>
          <w:p>
            <w:pPr>
              <w:ind w:firstLine="480"/>
              <w:jc w:val="both"/>
            </w:pPr>
            <w:r>
              <w:rPr>
                <w:sz w:val="24"/>
              </w:rPr>
              <w:t>2.</w:t>
            </w:r>
            <w:r>
              <w:rPr>
                <w:sz w:val="24"/>
              </w:rPr>
              <w:t>计算机文件要求。全部成果（含文本成果、汇报</w:t>
            </w:r>
            <w:r>
              <w:rPr>
                <w:sz w:val="24"/>
              </w:rPr>
              <w:t>PPT</w:t>
            </w:r>
            <w:r>
              <w:rPr>
                <w:sz w:val="24"/>
              </w:rPr>
              <w:t>等）均应制作计算机文件。</w:t>
            </w:r>
          </w:p>
          <w:p>
            <w:pPr>
              <w:jc w:val="left"/>
            </w:pPr>
            <w:r>
              <w:rPr>
                <w:b/>
                <w:sz w:val="24"/>
              </w:rPr>
              <w:t>3.</w:t>
            </w:r>
            <w:r>
              <w:rPr>
                <w:b/>
                <w:sz w:val="24"/>
              </w:rPr>
              <w:t>所有成果的计量单位均应采用国际标准计量单位。</w:t>
            </w:r>
          </w:p>
          <w:p>
            <w:pPr>
              <w:jc w:val="left"/>
            </w:pPr>
            <w:r>
              <w:rPr>
                <w:b/>
                <w:sz w:val="24"/>
              </w:rPr>
              <w:t>4.</w:t>
            </w:r>
            <w:r>
              <w:rPr>
                <w:b/>
                <w:sz w:val="24"/>
              </w:rPr>
              <w:t>所有成果的文字说明和文字标注均须以中文版本为准。成果文件必须做到清晰、完整、准确。</w:t>
            </w:r>
          </w:p>
          <w:p>
            <w:pPr>
              <w:ind w:firstLine="480"/>
              <w:jc w:val="both"/>
            </w:pPr>
            <w:r>
              <w:rPr>
                <w:sz w:val="24"/>
              </w:rPr>
              <w:t>5.</w:t>
            </w:r>
            <w:r>
              <w:rPr>
                <w:sz w:val="24"/>
              </w:rPr>
              <w:t>乙方应根据甲方需要提交各阶段纸质成果与计算机文件。</w:t>
            </w:r>
          </w:p>
          <w:p>
            <w:pPr>
              <w:ind w:firstLine="482"/>
              <w:jc w:val="both"/>
            </w:pPr>
            <w:r>
              <w:rPr>
                <w:b/>
                <w:sz w:val="24"/>
              </w:rPr>
              <w:t>三、工作协调和对接</w:t>
            </w:r>
          </w:p>
          <w:p>
            <w:pPr>
              <w:ind w:firstLine="480"/>
              <w:jc w:val="both"/>
            </w:pPr>
            <w:r>
              <w:rPr>
                <w:sz w:val="24"/>
              </w:rPr>
              <w:t>1.</w:t>
            </w:r>
            <w:r>
              <w:rPr>
                <w:sz w:val="24"/>
              </w:rPr>
              <w:t>工作协调：明珠湾起步区单元建设单位及其设计单位全程接受地区城市总设计师及其工作团队的技术指导。</w:t>
            </w:r>
          </w:p>
          <w:p>
            <w:pPr>
              <w:ind w:firstLine="482"/>
              <w:jc w:val="both"/>
            </w:pPr>
            <w:r>
              <w:rPr>
                <w:b/>
                <w:sz w:val="24"/>
              </w:rPr>
              <w:t>四、</w:t>
            </w:r>
            <w:r>
              <w:rPr>
                <w:b/>
                <w:sz w:val="24"/>
              </w:rPr>
              <w:t>附</w:t>
            </w:r>
            <w:r>
              <w:rPr>
                <w:b/>
                <w:sz w:val="24"/>
              </w:rPr>
              <w:t xml:space="preserve"> </w:t>
            </w:r>
            <w:r>
              <w:rPr>
                <w:b/>
                <w:sz w:val="24"/>
              </w:rPr>
              <w:t>则</w:t>
            </w:r>
          </w:p>
          <w:p>
            <w:pPr>
              <w:jc w:val="left"/>
            </w:pPr>
            <w:r>
              <w:rPr>
                <w:b/>
                <w:sz w:val="24"/>
              </w:rPr>
              <w:t>1.本项规划署名权归编制单位所有，其他版权归甲方单位及组织编制单位共有；</w:t>
            </w:r>
            <w:r>
              <w:rPr>
                <w:b/>
                <w:sz w:val="24"/>
              </w:rPr>
              <w:t>广州市南沙新区明珠湾开发建设管理局</w:t>
            </w:r>
            <w:r>
              <w:rPr>
                <w:b/>
                <w:sz w:val="24"/>
              </w:rPr>
              <w:t>有权在规划审定后公开展示规划成果，并通过传播、媒介、专业杂志、书刊及其它形式介绍、展示、评价规划方案。</w:t>
            </w:r>
          </w:p>
          <w:p>
            <w:pPr>
              <w:ind w:firstLine="480"/>
              <w:jc w:val="both"/>
            </w:pPr>
            <w:r>
              <w:rPr>
                <w:sz w:val="24"/>
              </w:rPr>
              <w:t>2.</w:t>
            </w:r>
            <w:r>
              <w:rPr>
                <w:sz w:val="24"/>
              </w:rPr>
              <w:t>规划方案批准实施前，设计单位负有保密责任，任何单位和个人未经甲方单位和</w:t>
            </w:r>
            <w:r>
              <w:rPr>
                <w:sz w:val="24"/>
              </w:rPr>
              <w:t>广州市南沙新区明珠湾开发建设管理局</w:t>
            </w:r>
            <w:r>
              <w:rPr>
                <w:sz w:val="24"/>
              </w:rPr>
              <w:t>同意，无权以任何形式向社会公开展示设计成果。</w:t>
            </w:r>
          </w:p>
          <w:p>
            <w:pPr>
              <w:ind w:firstLine="480"/>
              <w:jc w:val="both"/>
            </w:pPr>
            <w:r>
              <w:rPr>
                <w:sz w:val="24"/>
              </w:rPr>
              <w:t>3.</w:t>
            </w:r>
            <w:r>
              <w:rPr>
                <w:sz w:val="24"/>
              </w:rPr>
              <w:t>项目参与人员将严格遵守保密协议，不得将甲方和相关部门提供的参考材料以及成果材料外泄。无关人员不能传阅。</w:t>
            </w:r>
          </w:p>
          <w:p>
            <w:pPr>
              <w:ind w:firstLine="480"/>
              <w:jc w:val="both"/>
            </w:pPr>
            <w:r>
              <w:rPr>
                <w:sz w:val="24"/>
              </w:rPr>
              <w:t>4.</w:t>
            </w:r>
            <w:r>
              <w:rPr>
                <w:sz w:val="24"/>
              </w:rPr>
              <w:t>设计单位所提交的规划成果有下列情形之一的，按技术服务合同规定承担相应责任。</w:t>
            </w:r>
          </w:p>
          <w:p>
            <w:pPr>
              <w:ind w:firstLine="480"/>
              <w:jc w:val="both"/>
            </w:pPr>
            <w:r>
              <w:rPr>
                <w:sz w:val="24"/>
              </w:rPr>
              <w:t>4.1</w:t>
            </w:r>
            <w:r>
              <w:rPr>
                <w:sz w:val="24"/>
              </w:rPr>
              <w:t>提交的规划成果不符合本设计任务书规定的；</w:t>
            </w:r>
          </w:p>
          <w:p>
            <w:pPr>
              <w:ind w:firstLine="480"/>
              <w:jc w:val="both"/>
            </w:pPr>
            <w:r>
              <w:rPr>
                <w:sz w:val="24"/>
              </w:rPr>
              <w:t>4.2</w:t>
            </w:r>
            <w:r>
              <w:rPr>
                <w:sz w:val="24"/>
              </w:rPr>
              <w:t>提交的规划成果图纸和文字辨认不清，内容不全或粗制滥造的；</w:t>
            </w:r>
          </w:p>
          <w:p>
            <w:pPr>
              <w:ind w:firstLine="480"/>
              <w:jc w:val="both"/>
            </w:pPr>
            <w:r>
              <w:rPr>
                <w:sz w:val="24"/>
              </w:rPr>
              <w:t>4.3</w:t>
            </w:r>
            <w:r>
              <w:rPr>
                <w:sz w:val="24"/>
              </w:rPr>
              <w:t>未盖有承接单位公章（或出图章、业务章）或设计人员未签名。</w:t>
            </w:r>
          </w:p>
          <w:p>
            <w:pPr>
              <w:jc w:val="both"/>
            </w:pPr>
            <w:r>
              <w:rPr>
                <w:sz w:val="24"/>
              </w:rPr>
              <w:t>5.</w:t>
            </w:r>
            <w:r>
              <w:rPr>
                <w:sz w:val="24"/>
              </w:rPr>
              <w:t>本规划需求书解释权归</w:t>
            </w:r>
            <w:r>
              <w:rPr>
                <w:sz w:val="24"/>
              </w:rPr>
              <w:t>广州市南沙新区明珠湾开发建设管理局</w:t>
            </w:r>
            <w:r>
              <w:rPr>
                <w:sz w:val="24"/>
              </w:rPr>
              <w:t>所有。</w:t>
            </w:r>
          </w:p>
          <w:p>
            <w:pPr>
              <w:jc w:val="both"/>
            </w:pP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1.采购代理机构：本项目是指广东国利招标有限公司，负责整个采购活动的组织，依法负责编制和发布招标文件，对招标文件拥有最终的解释权，不以任何身份出任评标委员会成员。</w:t>
      </w:r>
    </w:p>
    <w:p>
      <w:pPr>
        <w:ind w:firstLine="480"/>
      </w:pPr>
      <w:r>
        <w:rPr/>
        <w:t>2.采购人：本项目是指</w:t>
      </w:r>
      <w:r>
        <w:rPr/>
        <w:t>广州市南沙新区明珠湾开发建设管理局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5</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兼投兼中：本项目不适用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1、投标供应商应承担所有与准备和参加投标有关的费用不论投标的结果如何，釆购代理机构和采购人均无义务和责任承担这些费用。2、中标人在领取《中标通知书》时须向釆购代理机构缴纳基础招标代理服务费及专家评审费。基础招标代理服务费参照《招标代理服务收费管理暂行办法》计价格[2002]1980号、《招标代理服务收费管理暂行办法》（发改办价格[2003]857号）文规定的收费标准，费率参照规定中的“服务招标” 收取；专家评审费依据《广东省财政厅关于修订广东省政府釆购评审专家劳务报酬标准的通知》（粤财釆购[2020]17号）按实际发生的收取。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林小姐</w:t>
      </w:r>
    </w:p>
    <w:p>
      <w:pPr>
        <w:ind w:firstLine="480"/>
      </w:pPr>
      <w:r>
        <w:rPr/>
        <w:t>电话：</w:t>
      </w:r>
      <w:r>
        <w:rPr/>
        <w:t>020-85200402</w:t>
      </w:r>
    </w:p>
    <w:p>
      <w:pPr>
        <w:ind w:firstLine="480"/>
      </w:pPr>
      <w:r>
        <w:rPr/>
        <w:t>传真：</w:t>
      </w:r>
      <w:r>
        <w:rPr/>
        <w:t>85200421</w:t>
      </w:r>
    </w:p>
    <w:p>
      <w:pPr>
        <w:ind w:firstLine="480"/>
      </w:pPr>
      <w:r>
        <w:rPr/>
        <w:t>邮箱：</w:t>
      </w:r>
      <w:r>
        <w:rPr/>
        <w:t>gdglzb@163.com</w:t>
      </w:r>
    </w:p>
    <w:p>
      <w:pPr>
        <w:ind w:firstLine="480"/>
      </w:pPr>
      <w:r>
        <w:rPr/>
        <w:t>地址：</w:t>
      </w:r>
      <w:r>
        <w:rPr/>
        <w:t>广州市天河区珠江新城华强路9号保利克洛维中盈大厦22楼2202</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政府采购监督管理机构名称：广州市南沙区财政局财政监督管理处</w:t>
      </w:r>
    </w:p>
    <w:p>
      <w:r>
        <w:rPr/>
        <w:t>地  址：广州市南沙区凤凰大道1号D栋3楼</w:t>
      </w:r>
    </w:p>
    <w:p>
      <w:r>
        <w:rPr/>
        <w:t>电  话：020-39078089</w:t>
      </w:r>
    </w:p>
    <w:p>
      <w:r>
        <w:rPr/>
        <w:t>邮  编：511455</w:t>
      </w:r>
    </w:p>
    <w:p>
      <w:r>
        <w:rPr/>
        <w:t>传  真：020-84986648</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明珠湾起步区灵山岛尖C2单元高水平国际城市风貌管控技术服务（2022-2025）)：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广东国利招标有限公司</w:t>
      </w:r>
      <w:r>
        <w:rPr/>
        <w:t>统一对外发布。</w:t>
      </w:r>
    </w:p>
    <w:p>
      <w:pPr>
        <w:ind w:firstLine="480"/>
      </w:pPr>
      <w:r>
        <w:rPr/>
        <w:t>（2）对</w:t>
      </w:r>
      <w:r>
        <w:rPr/>
        <w:t>广东国利招标有限公司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不同投标人的电子投标文件制作机器上传计算机的网卡MAC地址硬件信息相同的；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第二中标候选人报价低于第一中标候选人报价20％以上的，只推荐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采购包1（明珠湾起步区灵山岛尖C2单元高水平国际城市风貌管控技术服务（2022-2025））：</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20%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采购包1（明珠湾起步区灵山岛尖C2单元高水平国际城市风貌管控技术服务（2022-2025））：</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依据《投标函》及其附件，分支机构投标的，还须提供分支机构的营业执照（执业许可证）扫描件及总公司（总所）出具给分支机构的授权书。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依据《投标函》；</w:t>
            </w:r>
          </w:p>
        </w:tc>
      </w:tr>
      <w:tr>
        <w:tc>
          <w:tcPr>
            <w:tcW w:type="dxa" w:w="890"/>
          </w:tcPr>
          <w:p>
            <w:r>
              <w:rPr/>
              <w:t>3</w:t>
            </w:r>
          </w:p>
        </w:tc>
        <w:tc>
          <w:tcPr>
            <w:tcW w:type="dxa" w:w="3178"/>
          </w:tcPr>
          <w:p>
            <w:r>
              <w:rPr/>
              <w:t>具有良好的商业信誉和健全的财务会计制度</w:t>
            </w:r>
          </w:p>
        </w:tc>
        <w:tc>
          <w:tcPr>
            <w:tcW w:type="dxa" w:w="4238"/>
          </w:tcPr>
          <w:p>
            <w:r>
              <w:rPr/>
              <w:t>依据《投标函》；</w:t>
            </w:r>
          </w:p>
        </w:tc>
      </w:tr>
      <w:tr>
        <w:tc>
          <w:tcPr>
            <w:tcW w:type="dxa" w:w="890"/>
          </w:tcPr>
          <w:p>
            <w:r>
              <w:rPr/>
              <w:t>4</w:t>
            </w:r>
          </w:p>
        </w:tc>
        <w:tc>
          <w:tcPr>
            <w:tcW w:type="dxa" w:w="3178"/>
          </w:tcPr>
          <w:p>
            <w:r>
              <w:rPr/>
              <w:t>履行合同所必需的设备和专业技术能力</w:t>
            </w:r>
          </w:p>
        </w:tc>
        <w:tc>
          <w:tcPr>
            <w:tcW w:type="dxa" w:w="4238"/>
          </w:tcPr>
          <w:p>
            <w:r>
              <w:rPr/>
              <w:t>依据《投标函》；</w:t>
            </w:r>
          </w:p>
        </w:tc>
      </w:tr>
      <w:tr>
        <w:tc>
          <w:tcPr>
            <w:tcW w:type="dxa" w:w="890"/>
          </w:tcPr>
          <w:p>
            <w:r>
              <w:rPr/>
              <w:t>5</w:t>
            </w:r>
          </w:p>
        </w:tc>
        <w:tc>
          <w:tcPr>
            <w:tcW w:type="dxa" w:w="3178"/>
          </w:tcPr>
          <w:p>
            <w:r>
              <w:rPr/>
              <w:t>参加采购活动前3年内，在经营活动中没有重大违法记录</w:t>
            </w:r>
          </w:p>
        </w:tc>
        <w:tc>
          <w:tcPr>
            <w:tcW w:type="dxa" w:w="4238"/>
          </w:tcPr>
          <w:p>
            <w:r>
              <w:rPr/>
              <w:t>依据《投标函》。</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落实政府采购政策需满足的资格要求</w:t>
            </w:r>
          </w:p>
        </w:tc>
        <w:tc>
          <w:tcPr>
            <w:tcW w:type="dxa" w:w="4238"/>
          </w:tcPr>
          <w:p>
            <w:r>
              <w:rPr/>
              <w:t>采购包不属于专门面向中小企业</w:t>
            </w:r>
          </w:p>
        </w:tc>
      </w:tr>
      <w:tr>
        <w:tc>
          <w:tcPr>
            <w:tcW w:type="dxa" w:w="890"/>
          </w:tcPr>
          <w:p>
            <w:r>
              <w:rPr/>
              <w:t>9</w:t>
            </w:r>
          </w:p>
        </w:tc>
        <w:tc>
          <w:tcPr>
            <w:tcW w:type="dxa" w:w="3178"/>
          </w:tcPr>
          <w:p>
            <w:r>
              <w:rPr/>
              <w:t>其他法律法规</w:t>
            </w:r>
          </w:p>
        </w:tc>
        <w:tc>
          <w:tcPr>
            <w:tcW w:type="dxa" w:w="4238"/>
          </w:tcPr>
          <w:p>
            <w:r>
              <w:rPr/>
              <w:t>单位负责人为同一人或者彼此存在投资与被投资关系的、彼此的经营者、董事会（或同类管理机构）成员属于直系亲属或配偶关系的、法定代表人或单位负责人为同一人或者存在控股、管理关系的不同供应商，不得参加同一项目的投标；</w:t>
            </w:r>
          </w:p>
        </w:tc>
      </w:tr>
      <w:tr>
        <w:tc>
          <w:tcPr>
            <w:tcW w:type="dxa" w:w="890"/>
          </w:tcPr>
          <w:p>
            <w:r>
              <w:rPr/>
              <w:t>10</w:t>
            </w:r>
          </w:p>
        </w:tc>
        <w:tc>
          <w:tcPr>
            <w:tcW w:type="dxa" w:w="3178"/>
          </w:tcPr>
          <w:p>
            <w:r>
              <w:rPr/>
              <w:t>本项目不接受联合体投标</w:t>
            </w:r>
          </w:p>
        </w:tc>
        <w:tc>
          <w:tcPr>
            <w:tcW w:type="dxa" w:w="4238"/>
          </w:tcPr>
          <w:p>
            <w:r>
              <w:rPr/>
              <w:t>本项目不接受联合体投标。</w:t>
            </w:r>
          </w:p>
        </w:tc>
      </w:tr>
    </w:tbl>
    <w:p/>
    <w:p>
      <w:pPr>
        <w:ind w:firstLine="480"/>
      </w:pPr>
      <w:r>
        <w:rPr/>
        <w:t>表二符合性审查表：</w:t>
      </w:r>
    </w:p>
    <w:p>
      <w:pPr>
        <w:ind w:firstLine="480"/>
      </w:pPr>
    </w:p>
    <w:p/>
    <w:p>
      <w:r>
        <w:rPr/>
        <w:t>采购包1（明珠湾起步区灵山岛尖C2单元高水平国际城市风貌管控技术服务（2022-2025））：</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投标文件签署、盖章、授权</w:t>
            </w:r>
          </w:p>
        </w:tc>
        <w:tc>
          <w:tcPr>
            <w:tcW w:type="dxa" w:w="4238"/>
          </w:tcPr>
          <w:p>
            <w:r>
              <w:rPr/>
              <w:t>按照招标文件规定要求签署、盖章且投标文件有法定代表人签字或盖个人名章（或签字人有法定代表人有效授权书）。</w:t>
            </w:r>
          </w:p>
        </w:tc>
      </w:tr>
      <w:tr>
        <w:tc>
          <w:tcPr>
            <w:tcW w:type="dxa" w:w="890"/>
          </w:tcPr>
          <w:p>
            <w:r>
              <w:rPr/>
              <w:t>2</w:t>
            </w:r>
          </w:p>
        </w:tc>
        <w:tc>
          <w:tcPr>
            <w:tcW w:type="dxa" w:w="3178"/>
          </w:tcPr>
          <w:p>
            <w:r>
              <w:rPr/>
              <w:t>投标函、投标有效期</w:t>
            </w:r>
          </w:p>
        </w:tc>
        <w:tc>
          <w:tcPr>
            <w:tcW w:type="dxa" w:w="4238"/>
          </w:tcPr>
          <w:p>
            <w:r>
              <w:rPr/>
              <w:t>《投标函》已提交并符合招标文件要求，且投标有效期满足招标文件要求。</w:t>
            </w:r>
          </w:p>
        </w:tc>
      </w:tr>
      <w:tr>
        <w:tc>
          <w:tcPr>
            <w:tcW w:type="dxa" w:w="890"/>
          </w:tcPr>
          <w:p>
            <w:r>
              <w:rPr/>
              <w:t>3</w:t>
            </w:r>
          </w:p>
        </w:tc>
        <w:tc>
          <w:tcPr>
            <w:tcW w:type="dxa" w:w="3178"/>
          </w:tcPr>
          <w:p>
            <w:r>
              <w:rPr/>
              <w:t>投标人报价</w:t>
            </w:r>
          </w:p>
        </w:tc>
        <w:tc>
          <w:tcPr>
            <w:tcW w:type="dxa" w:w="4238"/>
          </w:tcPr>
          <w:p>
            <w:r>
              <w:rPr/>
              <w:t>（1）投标供应商报价（含单项报价，如有要求）确定且未超过采购文件中列出的采购预算（最高限价）； （2）如有，对评标委员会按照招标文件规定修正后的投标报价，投标人按规定书面确认； （3）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r>
              <w:rPr/>
              <w:t>4</w:t>
            </w:r>
          </w:p>
        </w:tc>
        <w:tc>
          <w:tcPr>
            <w:tcW w:type="dxa" w:w="3178"/>
          </w:tcPr>
          <w:p>
            <w:r>
              <w:rPr/>
              <w:t>其他无效投标情形</w:t>
            </w:r>
          </w:p>
        </w:tc>
        <w:tc>
          <w:tcPr>
            <w:tcW w:type="dxa" w:w="4238"/>
          </w:tcPr>
          <w:p>
            <w:r>
              <w:rPr/>
              <w:t>未发现存在如下其他无效投标情形之一： （1）评审期间，供应商没有按评标委员会的要求提交有效的澄清、说明、补正，或提交的澄清、说明、补正改变了投标文件的实质性内容； （2）供应商对采购人、采购代理机构、评标委员会及其工作人员施加影响，有碍公平、公正； （3）招标文件中规定的其它无效投标情形； （4）法律法规规定属于响应无效的其他情形。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明珠湾起步区灵山岛尖C2单元高水平国际城市风貌管控技术服务（2022-2025）</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对项目的熟悉和了解程度 (15.0分)</w:t>
            </w:r>
          </w:p>
        </w:tc>
        <w:tc>
          <w:tcPr>
            <w:tcW w:type="dxa" w:w="5076"/>
          </w:tcPr>
          <w:p>
            <w:pPr>
              <w:jc w:val="left"/>
            </w:pPr>
            <w:r>
              <w:rPr/>
              <w:t>（1）对本项目背景、地区发展趋势和目标、土地储备进展情况、周边地块城市更新情况等相关情况充分掌握；熟悉和理解本地现行城乡规划技术规定、技术流程、相关规划管理及地区城市总设计师项目运作方式，得15分； （2）对本项目背景、地区发展趋势和目标、土地储备进展情况、周边地块城市更新情况基本掌握；基本熟悉和理解本地现行城乡规划技术规定、技术流程、相关规划管理及地区城市总设计师项目运作方式，得10分； （3）对本项目背景、地区发展趋势和目标、土地储备进展情况、周边地块城市更新情况掌握不到位；不够熟悉和理解本地现行城乡规划技术规定、技术流程、相关规划管理及地区城市总设计师项目运作方式，得5分； （4）未提供的得0分。</w:t>
            </w:r>
          </w:p>
        </w:tc>
      </w:tr>
      <w:tr>
        <w:tc>
          <w:tcPr>
            <w:tcW w:type="dxa" w:w="922"/>
            <w:gridSpan w:val="2"/>
            <w:vMerge/>
          </w:tcPr>
          <w:p/>
        </w:tc>
        <w:tc>
          <w:tcPr>
            <w:tcW w:type="dxa" w:w="2307"/>
          </w:tcPr>
          <w:p>
            <w:pPr>
              <w:jc w:val="left"/>
            </w:pPr>
            <w:r>
              <w:rPr/>
              <w:t>总体咨询服务方案 (10.0分)</w:t>
            </w:r>
          </w:p>
        </w:tc>
        <w:tc>
          <w:tcPr>
            <w:tcW w:type="dxa" w:w="5076"/>
          </w:tcPr>
          <w:p>
            <w:pPr>
              <w:jc w:val="left"/>
            </w:pPr>
            <w:r>
              <w:rPr/>
              <w:t>投标人提供本项目的总体咨询服务方案，包括但不限于咨询方式、咨询指引、拟组建咨询专家方案、咨询会评审会前期的准备、会务安排计划等内容： （1）总体服务安排科学完善，具有合理性、适用性、可行性的，得10分； （2）总体服务安排基本完善，有一定的合理性、适用性、可行性的，得6分； （3）总体服务安排不够完善，合理性、适用性、可行性程度低的，得2分； （4）不提供，得0分。</w:t>
            </w:r>
          </w:p>
        </w:tc>
      </w:tr>
      <w:tr>
        <w:tc>
          <w:tcPr>
            <w:tcW w:type="dxa" w:w="922"/>
            <w:gridSpan w:val="2"/>
            <w:vMerge/>
          </w:tcPr>
          <w:p/>
        </w:tc>
        <w:tc>
          <w:tcPr>
            <w:tcW w:type="dxa" w:w="2307"/>
          </w:tcPr>
          <w:p>
            <w:pPr>
              <w:jc w:val="left"/>
            </w:pPr>
            <w:r>
              <w:rPr/>
              <w:t>工作方案的重点及难点理解 (10.0分)</w:t>
            </w:r>
          </w:p>
        </w:tc>
        <w:tc>
          <w:tcPr>
            <w:tcW w:type="dxa" w:w="5076"/>
          </w:tcPr>
          <w:p>
            <w:pPr>
              <w:jc w:val="left"/>
            </w:pPr>
            <w:r>
              <w:rPr/>
              <w:t>对招标项目规划设计方案重点及难点理解进行评审 （1）规划设计方案重点及难点理解准确深入，对项目的重点、难点分析合理准确，提出的对策科学、合理得10分 （2）规划设计方案重点及难点理解较准确，不够深入，对项目的重点、难点分析较合理准确，提出的对策较科学、合理，得6分 （3）规划设计方案重点及难点理解有一定认识，对项目的重点、难点分析一般，提出的对策一般，得2分 （4）规划设计方案重点及难点理解认识不足，对项目的重点、难点分析不准确，提出的对策不合理，得 0分</w:t>
            </w:r>
          </w:p>
        </w:tc>
      </w:tr>
      <w:tr>
        <w:tc>
          <w:tcPr>
            <w:tcW w:type="dxa" w:w="922"/>
            <w:gridSpan w:val="2"/>
            <w:vMerge/>
          </w:tcPr>
          <w:p/>
        </w:tc>
        <w:tc>
          <w:tcPr>
            <w:tcW w:type="dxa" w:w="2307"/>
          </w:tcPr>
          <w:p>
            <w:pPr>
              <w:jc w:val="left"/>
            </w:pPr>
            <w:r>
              <w:rPr/>
              <w:t>质量保障措施 (5.0分)</w:t>
            </w:r>
          </w:p>
        </w:tc>
        <w:tc>
          <w:tcPr>
            <w:tcW w:type="dxa" w:w="5076"/>
          </w:tcPr>
          <w:p>
            <w:pPr>
              <w:jc w:val="left"/>
            </w:pPr>
            <w:r>
              <w:rPr/>
              <w:t>（1）项目质量保障措施具体、合理、可行，能够满足反复修改论证、随时汇报以及短期内提交成果等特殊要求，得5分； （2）项目质量保障措施比较具体、合理、可行，比较能够满足反复修改论证、随时汇报以及短期内提交成果等特殊要求，得3分； （3）项目质量保障措施基本合理、可行，基本能够满足反复修改论证、随时汇报以及短期内提交成果等特殊要求，得1分； （4）项目质量保障措施不具体、不合理、可行性低，不能满足反复修改论证、随时汇报以及短期内提交成果等特殊要求，得0分。</w:t>
            </w:r>
          </w:p>
        </w:tc>
      </w:tr>
      <w:tr>
        <w:tc>
          <w:tcPr>
            <w:tcW w:type="dxa" w:w="922"/>
            <w:gridSpan w:val="2"/>
            <w:vMerge/>
          </w:tcPr>
          <w:p/>
        </w:tc>
        <w:tc>
          <w:tcPr>
            <w:tcW w:type="dxa" w:w="2307"/>
          </w:tcPr>
          <w:p>
            <w:pPr>
              <w:jc w:val="left"/>
            </w:pPr>
            <w:r>
              <w:rPr/>
              <w:t>工作时间与进度计划 (5.0分)</w:t>
            </w:r>
          </w:p>
        </w:tc>
        <w:tc>
          <w:tcPr>
            <w:tcW w:type="dxa" w:w="5076"/>
          </w:tcPr>
          <w:p>
            <w:pPr>
              <w:jc w:val="left"/>
            </w:pPr>
            <w:r>
              <w:rPr/>
              <w:t>（1）工作时间与进度具有详细、完整的工作计划，工作时间科学合理且可行性高，能按时交付成果，得5分； （2）工作时间与进度具有较详细、较完整的工作计划，工作时间较合理且可行性较高，能按时交付成果，得3分； （3）工作时间与进度计划基本完整，工作时间基本合理且有一定可行性，能按时交付成果，得1分； （4）工作时间与进度计划不完整，工作时间不合理且可行性低，不能按时交付成果，得0分。</w:t>
            </w:r>
          </w:p>
        </w:tc>
      </w:tr>
      <w:tr>
        <w:tc>
          <w:tcPr>
            <w:tcW w:type="dxa" w:w="922"/>
            <w:gridSpan w:val="2"/>
            <w:vMerge w:val="restart"/>
          </w:tcPr>
          <w:p>
            <w:pPr>
              <w:jc w:val="center"/>
            </w:pPr>
            <w:r>
              <w:rPr/>
              <w:t>商务部分</w:t>
            </w:r>
          </w:p>
        </w:tc>
        <w:tc>
          <w:tcPr>
            <w:tcW w:type="dxa" w:w="2307"/>
          </w:tcPr>
          <w:p>
            <w:pPr>
              <w:jc w:val="left"/>
            </w:pPr>
            <w:r>
              <w:rPr/>
              <w:t>同类项目业绩情况 (9.0分)</w:t>
            </w:r>
          </w:p>
        </w:tc>
        <w:tc>
          <w:tcPr>
            <w:tcW w:type="dxa" w:w="5076"/>
          </w:tcPr>
          <w:p>
            <w:pPr>
              <w:jc w:val="left"/>
            </w:pPr>
            <w:r>
              <w:rPr/>
              <w:t>1.投标人自2017年1月1日至今，承担过城市总设计师项目编制经验，每项得2分，本分项最高6分； 2.投标人自2017年1月1日至今，承担过城市设计或城市规划或概念城市研究项目经验，每项得1分，本分项最高3分。 注：需附上合同关键页相关证明材料的扫描件，加盖公章。其中总设计师业绩需在合同关键页或项目名称中体现“总设计师”、“地区总设计师”等关键字，否则不得分。</w:t>
            </w:r>
          </w:p>
        </w:tc>
      </w:tr>
      <w:tr>
        <w:tc>
          <w:tcPr>
            <w:tcW w:type="dxa" w:w="922"/>
            <w:gridSpan w:val="2"/>
            <w:vMerge/>
          </w:tcPr>
          <w:p/>
        </w:tc>
        <w:tc>
          <w:tcPr>
            <w:tcW w:type="dxa" w:w="2307"/>
          </w:tcPr>
          <w:p>
            <w:pPr>
              <w:jc w:val="left"/>
            </w:pPr>
            <w:r>
              <w:rPr/>
              <w:t>获奖情况 (10.0分)</w:t>
            </w:r>
          </w:p>
        </w:tc>
        <w:tc>
          <w:tcPr>
            <w:tcW w:type="dxa" w:w="5076"/>
          </w:tcPr>
          <w:p>
            <w:pPr>
              <w:jc w:val="left"/>
            </w:pPr>
            <w:r>
              <w:rPr/>
              <w:t>投标人自2017年1月1日（以获奖证书颁发时间为准）至今获奖情况： 1.投标人承担的城市设计(城市规划/城乡规划)获得全国优秀城乡规划奖的，每提供1个得1.5分；获得省级优秀城市规划设计奖的，每提供1个得1分；获得市级优秀城市规划设计奖的，每提供1个得0.5分。此项最高5分。 2. 投标人承担的建设工程规划或城市设计获国家级科技奖的，每提供1个得2分；获得省级科学技术奖励的，每提供1个得1分。此项累计最高得3分。 3. 投标人编制过地区总设计师项目，获得全国优秀规划设计奖的，每个得2分，此项最高得2分。 注： （1）提供奖项证书扫描件，同一项目获奖按最高得分计算，不重复计算得分，时间以证书颁发日期为准。 （2）第3项提供的获奖证书的项目名称需体现“总设计师”、“地区总设计师”关键词，否则不得分；</w:t>
            </w:r>
          </w:p>
        </w:tc>
      </w:tr>
      <w:tr>
        <w:tc>
          <w:tcPr>
            <w:tcW w:type="dxa" w:w="922"/>
            <w:gridSpan w:val="2"/>
            <w:vMerge/>
          </w:tcPr>
          <w:p/>
        </w:tc>
        <w:tc>
          <w:tcPr>
            <w:tcW w:type="dxa" w:w="2307"/>
          </w:tcPr>
          <w:p>
            <w:pPr>
              <w:jc w:val="left"/>
            </w:pPr>
            <w:r>
              <w:rPr/>
              <w:t>项目负责人 (12.0分)</w:t>
            </w:r>
          </w:p>
        </w:tc>
        <w:tc>
          <w:tcPr>
            <w:tcW w:type="dxa" w:w="5076"/>
          </w:tcPr>
          <w:p>
            <w:pPr>
              <w:jc w:val="left"/>
            </w:pPr>
            <w:r>
              <w:rPr/>
              <w:t>1.具有一级注册建筑师或注册城乡规划师执业证书，且具有教授级职称的，得3分；具有一级注册建筑师或注册城乡规划师执业证书，且具有高级职称的，得2分；其余不得分。  2.具备中国工程院院士或全国工程勘察设计师大师称号的，得3分； 3.主持总设计师服务相关经验（个人姓名需位于项目团队名单首位或合同项目负责人处），每个得1分，此项最高3分； 4.主持总设计师服务项目（个人姓名需位于项目团队名单首位）：获国家级奖项的每个得3分，获省级奖项每个得2分，获市级奖项的每个得1分。此项最高得3分； 注： （1）提供项目负责人执业证书、职称证、项目合同关键页、获奖证书扫描件； （2）投标人单位任职证明文件（用工证明文件或劳动合同或社保证明）扫描件并加盖公章，否则不得分。 （3）第4项提供的获奖证书不超过2个，且项目名称需体现“总设计师”、“地区总设计师”等关键字，否则不得分。</w:t>
            </w:r>
          </w:p>
        </w:tc>
      </w:tr>
      <w:tr>
        <w:tc>
          <w:tcPr>
            <w:tcW w:type="dxa" w:w="922"/>
            <w:gridSpan w:val="2"/>
            <w:vMerge/>
          </w:tcPr>
          <w:p/>
        </w:tc>
        <w:tc>
          <w:tcPr>
            <w:tcW w:type="dxa" w:w="2307"/>
          </w:tcPr>
          <w:p>
            <w:pPr>
              <w:jc w:val="left"/>
            </w:pPr>
            <w:r>
              <w:rPr/>
              <w:t>项目团队配备情况 (14.0分)</w:t>
            </w:r>
          </w:p>
        </w:tc>
        <w:tc>
          <w:tcPr>
            <w:tcW w:type="dxa" w:w="5076"/>
          </w:tcPr>
          <w:p>
            <w:pPr>
              <w:jc w:val="left"/>
            </w:pPr>
            <w:r>
              <w:rPr/>
              <w:t>除项目负责人外，具备如下：  1.团队成员中：10人以上研究生学历的，得4分，8人以上研究生学历的，得3分；6人以上研究生学历的，得2分；4人以上研究生学历的，得1分；其余不得分。 2.团队成员中：具有建筑学相关专业教授级高级工程师的，每个得2分。此项满分4分； 3. 团队成员中：具有城市规划与设计相关专业教授级高级工程师的，每个得2分。此项满分4分。 4. 团队成员中，具有结构工程相关专业教授级高级工程师职称的，每个得2分。此项满分2分。 注：（1）须提供毕业证书或学位证书、职称证书、执业证书等相关证明材料扫描件及在投标人单位任职证明文件（用工证明文件或劳动合同或社保证明）扫描件并加盖公章，否则不得分。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sz w:val="30"/>
        </w:rPr>
        <w:t>合同书</w:t>
      </w:r>
    </w:p>
    <w:p>
      <w:pPr>
        <w:jc w:val="both"/>
      </w:pPr>
    </w:p>
    <w:p>
      <w:pPr>
        <w:jc w:val="both"/>
      </w:pPr>
    </w:p>
    <w:p>
      <w:pPr>
        <w:jc w:val="center"/>
      </w:pPr>
      <w:r>
        <w:rPr>
          <w:b/>
          <w:sz w:val="24"/>
          <w:u w:val="single"/>
        </w:rPr>
        <w:t>（注：本合同样本仅供参考，具体内容由买、卖方双方协商确定。）</w:t>
      </w:r>
    </w:p>
    <w:p>
      <w:pPr>
        <w:jc w:val="both"/>
      </w:pPr>
    </w:p>
    <w:p>
      <w:pPr>
        <w:jc w:val="both"/>
      </w:pPr>
    </w:p>
    <w:p>
      <w:pPr>
        <w:jc w:val="both"/>
      </w:pPr>
    </w:p>
    <w:p>
      <w:pPr>
        <w:jc w:val="both"/>
      </w:pPr>
      <w:r>
        <w:rPr>
          <w:sz w:val="24"/>
        </w:rPr>
        <w:t>合同编号：</w:t>
      </w:r>
    </w:p>
    <w:p>
      <w:pPr>
        <w:jc w:val="both"/>
      </w:pPr>
    </w:p>
    <w:p>
      <w:pPr>
        <w:jc w:val="both"/>
      </w:pPr>
    </w:p>
    <w:p>
      <w:pPr>
        <w:jc w:val="both"/>
      </w:pPr>
    </w:p>
    <w:p>
      <w:pPr>
        <w:jc w:val="both"/>
      </w:pPr>
    </w:p>
    <w:p>
      <w:pPr>
        <w:jc w:val="center"/>
      </w:pPr>
    </w:p>
    <w:p>
      <w:pPr>
        <w:jc w:val="center"/>
      </w:pPr>
      <w:r>
        <w:rPr>
          <w:sz w:val="44"/>
        </w:rPr>
        <w:t>技术服务合同</w:t>
      </w:r>
    </w:p>
    <w:p>
      <w:pPr>
        <w:jc w:val="center"/>
      </w:pPr>
    </w:p>
    <w:p>
      <w:pPr>
        <w:jc w:val="center"/>
      </w:pPr>
    </w:p>
    <w:p>
      <w:pPr>
        <w:ind w:firstLine="960"/>
        <w:jc w:val="both"/>
      </w:pPr>
      <w:r>
        <w:rPr>
          <w:sz w:val="24"/>
        </w:rPr>
        <w:t>项目名称：</w:t>
      </w:r>
      <w:r>
        <w:rPr>
          <w:sz w:val="24"/>
          <w:u w:val="single"/>
        </w:rPr>
        <w:t>明珠湾起步区灵山岛尖</w:t>
      </w:r>
      <w:r>
        <w:rPr>
          <w:sz w:val="24"/>
          <w:u w:val="single"/>
        </w:rPr>
        <w:t>C2</w:t>
      </w:r>
      <w:r>
        <w:rPr>
          <w:sz w:val="24"/>
          <w:u w:val="single"/>
        </w:rPr>
        <w:t>单元高水平国际城市风貌管控技术</w:t>
      </w:r>
    </w:p>
    <w:p>
      <w:pPr>
        <w:ind w:firstLine="2160"/>
        <w:jc w:val="both"/>
      </w:pPr>
      <w:r>
        <w:rPr>
          <w:sz w:val="24"/>
          <w:u w:val="single"/>
        </w:rPr>
        <w:t>服务（</w:t>
      </w:r>
      <w:r>
        <w:rPr>
          <w:sz w:val="24"/>
          <w:u w:val="single"/>
        </w:rPr>
        <w:t>2022-2025</w:t>
      </w:r>
      <w:r>
        <w:rPr>
          <w:sz w:val="24"/>
          <w:u w:val="single"/>
        </w:rPr>
        <w:t>）</w:t>
      </w:r>
      <w:r>
        <w:rPr>
          <w:sz w:val="24"/>
          <w:u w:val="single"/>
        </w:rPr>
        <w:t xml:space="preserve"> </w:t>
      </w:r>
    </w:p>
    <w:p>
      <w:pPr>
        <w:ind w:firstLine="960"/>
        <w:jc w:val="both"/>
      </w:pPr>
      <w:r>
        <w:rPr>
          <w:sz w:val="24"/>
        </w:rPr>
        <w:t>委托方（甲方）：</w:t>
      </w:r>
      <w:r>
        <w:rPr>
          <w:sz w:val="24"/>
          <w:u w:val="single"/>
        </w:rPr>
        <w:t xml:space="preserve"> </w:t>
      </w:r>
      <w:r>
        <w:rPr>
          <w:sz w:val="24"/>
          <w:u w:val="single"/>
        </w:rPr>
        <w:t>广州市南沙新区明珠湾开发建设管理局</w:t>
      </w:r>
      <w:r>
        <w:rPr>
          <w:sz w:val="24"/>
          <w:u w:val="single"/>
        </w:rPr>
        <w:t xml:space="preserve">  </w:t>
      </w:r>
    </w:p>
    <w:p>
      <w:pPr>
        <w:ind w:firstLine="960"/>
        <w:jc w:val="both"/>
      </w:pPr>
      <w:r>
        <w:rPr>
          <w:sz w:val="24"/>
        </w:rPr>
        <w:t>受托方（乙方）：</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p>
    <w:p>
      <w:pPr>
        <w:ind w:firstLine="960"/>
        <w:jc w:val="both"/>
      </w:pPr>
      <w:r>
        <w:rPr>
          <w:sz w:val="24"/>
        </w:rPr>
        <w:t>签订时间：</w:t>
      </w:r>
      <w:r>
        <w:rPr>
          <w:sz w:val="24"/>
          <w:u w:val="single"/>
        </w:rPr>
        <w:t xml:space="preserve">  </w:t>
      </w:r>
      <w:r>
        <w:rPr>
          <w:sz w:val="24"/>
          <w:u w:val="single"/>
        </w:rPr>
        <w:t>二</w:t>
      </w:r>
      <w:r>
        <w:rPr>
          <w:sz w:val="24"/>
          <w:u w:val="single"/>
        </w:rPr>
        <w:t>○二二年</w:t>
      </w:r>
      <w:r>
        <w:rPr>
          <w:sz w:val="24"/>
          <w:u w:val="single"/>
        </w:rPr>
        <w:t xml:space="preserve">     </w:t>
      </w:r>
      <w:r>
        <w:rPr>
          <w:sz w:val="24"/>
          <w:u w:val="single"/>
        </w:rPr>
        <w:t>月</w:t>
      </w:r>
      <w:r>
        <w:rPr>
          <w:sz w:val="24"/>
          <w:u w:val="single"/>
        </w:rPr>
        <w:t xml:space="preserve">  </w:t>
      </w:r>
      <w:r>
        <w:rPr>
          <w:sz w:val="24"/>
          <w:u w:val="single"/>
        </w:rPr>
        <w:t xml:space="preserve">                     </w:t>
      </w:r>
      <w:r>
        <w:rPr>
          <w:sz w:val="24"/>
          <w:u w:val="single"/>
        </w:rPr>
        <w:t xml:space="preserve">  </w:t>
      </w:r>
      <w:r>
        <w:rPr>
          <w:sz w:val="24"/>
          <w:u w:val="single"/>
        </w:rPr>
        <w:t xml:space="preserve">    </w:t>
      </w:r>
    </w:p>
    <w:p>
      <w:pPr>
        <w:ind w:firstLine="960"/>
        <w:jc w:val="both"/>
      </w:pPr>
      <w:r>
        <w:rPr>
          <w:sz w:val="24"/>
        </w:rPr>
        <w:t>签订地点：</w:t>
      </w:r>
      <w:r>
        <w:rPr>
          <w:sz w:val="24"/>
          <w:u w:val="single"/>
        </w:rPr>
        <w:t xml:space="preserve">  </w:t>
      </w:r>
      <w:r>
        <w:rPr>
          <w:sz w:val="24"/>
          <w:u w:val="single"/>
        </w:rPr>
        <w:t>广东省广州市南沙区</w:t>
      </w:r>
      <w:r>
        <w:rPr>
          <w:sz w:val="24"/>
          <w:u w:val="single"/>
        </w:rPr>
        <w:t xml:space="preserve">   </w:t>
      </w:r>
      <w:r>
        <w:rPr>
          <w:sz w:val="24"/>
          <w:u w:val="single"/>
        </w:rPr>
        <w:t xml:space="preserve">               </w:t>
      </w:r>
      <w:r>
        <w:rPr>
          <w:sz w:val="24"/>
          <w:u w:val="single"/>
        </w:rPr>
        <w:t xml:space="preserve"> </w:t>
      </w:r>
      <w:r>
        <w:rPr>
          <w:sz w:val="24"/>
          <w:u w:val="single"/>
        </w:rPr>
        <w:t xml:space="preserve">     </w:t>
      </w:r>
    </w:p>
    <w:p>
      <w:pPr>
        <w:jc w:val="both"/>
      </w:pPr>
    </w:p>
    <w:p>
      <w:pPr>
        <w:jc w:val="both"/>
      </w:pPr>
    </w:p>
    <w:p>
      <w:pPr>
        <w:jc w:val="both"/>
      </w:pPr>
    </w:p>
    <w:p>
      <w:pPr>
        <w:jc w:val="both"/>
      </w:pPr>
    </w:p>
    <w:p>
      <w:pPr>
        <w:jc w:val="center"/>
      </w:pPr>
      <w:r>
        <w:rPr>
          <w:sz w:val="24"/>
        </w:rPr>
        <w:t>中华人民共和国科学技术部印制</w:t>
      </w:r>
    </w:p>
    <w:p>
      <w:pPr>
        <w:jc w:val="center"/>
      </w:pPr>
    </w:p>
    <w:p>
      <w:pPr>
        <w:jc w:val="center"/>
      </w:pPr>
    </w:p>
    <w:p/>
    <w:p>
      <w:r>
        <w:rPr>
          <w:sz w:val="24"/>
        </w:rPr>
        <w:t>填</w:t>
      </w:r>
      <w:r>
        <w:rPr>
          <w:sz w:val="24"/>
        </w:rPr>
        <w:t>写</w:t>
      </w:r>
      <w:r>
        <w:rPr>
          <w:sz w:val="24"/>
        </w:rPr>
        <w:t>说</w:t>
      </w:r>
      <w:r>
        <w:rPr>
          <w:sz w:val="24"/>
        </w:rPr>
        <w:t>明</w:t>
      </w:r>
    </w:p>
    <w:p>
      <w:r>
        <w:rPr/>
        <w:t xml:space="preserve"> </w:t>
      </w:r>
    </w:p>
    <w:p>
      <w:pPr>
        <w:jc w:val="center"/>
      </w:pPr>
    </w:p>
    <w:p>
      <w:pPr>
        <w:jc w:val="both"/>
      </w:pPr>
      <w:r>
        <w:rPr>
          <w:sz w:val="24"/>
        </w:rPr>
        <w:t xml:space="preserve">    </w:t>
      </w:r>
      <w:r>
        <w:rPr>
          <w:sz w:val="24"/>
        </w:rPr>
        <w:t>一、本合同为中华人民共和国科学技术部印制的技术服务合同示范文本，各技术合同登记机构可推介技术合同当事人参照使用。</w:t>
      </w:r>
    </w:p>
    <w:p>
      <w:pPr>
        <w:jc w:val="both"/>
      </w:pPr>
      <w:r>
        <w:rPr>
          <w:sz w:val="24"/>
        </w:rPr>
        <w:t xml:space="preserve">    </w:t>
      </w:r>
      <w:r>
        <w:rPr>
          <w:sz w:val="24"/>
        </w:rPr>
        <w:t>二、本合同适用于一方当事人</w:t>
      </w:r>
      <w:r>
        <w:rPr>
          <w:sz w:val="24"/>
        </w:rPr>
        <w:t>(</w:t>
      </w:r>
      <w:r>
        <w:rPr>
          <w:sz w:val="24"/>
        </w:rPr>
        <w:t>受托方</w:t>
      </w:r>
      <w:r>
        <w:rPr>
          <w:sz w:val="24"/>
        </w:rPr>
        <w:t>)</w:t>
      </w:r>
      <w:r>
        <w:rPr>
          <w:sz w:val="24"/>
        </w:rPr>
        <w:t>以技术知识为另一方</w:t>
      </w:r>
      <w:r>
        <w:rPr>
          <w:sz w:val="24"/>
        </w:rPr>
        <w:t>(</w:t>
      </w:r>
      <w:r>
        <w:rPr>
          <w:sz w:val="24"/>
        </w:rPr>
        <w:t>委托方</w:t>
      </w:r>
      <w:r>
        <w:rPr>
          <w:sz w:val="24"/>
        </w:rPr>
        <w:t>)</w:t>
      </w:r>
      <w:r>
        <w:rPr>
          <w:sz w:val="24"/>
        </w:rPr>
        <w:t>解决特定技术问题所订立的合同。</w:t>
      </w:r>
    </w:p>
    <w:p>
      <w:pPr>
        <w:jc w:val="both"/>
      </w:pPr>
      <w:r>
        <w:rPr>
          <w:sz w:val="24"/>
        </w:rPr>
        <w:t xml:space="preserve">    </w:t>
      </w:r>
      <w:r>
        <w:rPr>
          <w:sz w:val="24"/>
        </w:rPr>
        <w:t>三、签约一方为多个当事人的，可按各自在合同关系中的作用等，在</w:t>
      </w:r>
      <w:r>
        <w:rPr>
          <w:sz w:val="24"/>
        </w:rPr>
        <w:t>“委托方”、“受托方”项下</w:t>
      </w:r>
      <w:r>
        <w:rPr>
          <w:sz w:val="24"/>
        </w:rPr>
        <w:t>(</w:t>
      </w:r>
      <w:r>
        <w:rPr>
          <w:sz w:val="24"/>
        </w:rPr>
        <w:t>增页</w:t>
      </w:r>
      <w:r>
        <w:rPr>
          <w:sz w:val="24"/>
        </w:rPr>
        <w:t>)</w:t>
      </w:r>
      <w:r>
        <w:rPr>
          <w:sz w:val="24"/>
        </w:rPr>
        <w:t>分别排列为共同委托人或共同受托人。</w:t>
      </w:r>
    </w:p>
    <w:p>
      <w:pPr>
        <w:jc w:val="both"/>
      </w:pPr>
      <w:r>
        <w:rPr>
          <w:sz w:val="24"/>
        </w:rPr>
        <w:t xml:space="preserve">    </w:t>
      </w:r>
      <w:r>
        <w:rPr>
          <w:sz w:val="24"/>
        </w:rPr>
        <w:t>四、本合同书未尽事项，可由当事人附页另行约定，并作为本合同的组成部分。</w:t>
      </w:r>
    </w:p>
    <w:p>
      <w:pPr>
        <w:jc w:val="both"/>
      </w:pPr>
      <w:r>
        <w:rPr>
          <w:sz w:val="24"/>
        </w:rPr>
        <w:t xml:space="preserve">    </w:t>
      </w:r>
      <w:r>
        <w:rPr>
          <w:sz w:val="24"/>
        </w:rPr>
        <w:t>五、当事人使用本合同书时约定无需填写的条款，应在该条款处注明</w:t>
      </w:r>
      <w:r>
        <w:rPr>
          <w:sz w:val="24"/>
        </w:rPr>
        <w:t>“无”等字样。</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center"/>
      </w:pPr>
    </w:p>
    <w:p/>
    <w:p>
      <w:r>
        <w:rPr>
          <w:sz w:val="24"/>
        </w:rPr>
        <w:t xml:space="preserve">    </w:t>
      </w:r>
      <w:r>
        <w:rPr>
          <w:sz w:val="24"/>
        </w:rPr>
        <w:t>技</w:t>
      </w:r>
      <w:r>
        <w:rPr>
          <w:sz w:val="24"/>
        </w:rPr>
        <w:t>术</w:t>
      </w:r>
      <w:r>
        <w:rPr>
          <w:sz w:val="24"/>
        </w:rPr>
        <w:t>服</w:t>
      </w:r>
      <w:r>
        <w:rPr>
          <w:sz w:val="24"/>
        </w:rPr>
        <w:t>务</w:t>
      </w:r>
      <w:r>
        <w:rPr>
          <w:sz w:val="24"/>
        </w:rPr>
        <w:t>合</w:t>
      </w:r>
      <w:r>
        <w:rPr>
          <w:sz w:val="24"/>
        </w:rPr>
        <w:t>同</w:t>
      </w:r>
    </w:p>
    <w:p>
      <w:r>
        <w:rPr/>
        <w:t xml:space="preserve"> </w:t>
      </w:r>
    </w:p>
    <w:p>
      <w:pPr>
        <w:jc w:val="center"/>
      </w:pPr>
    </w:p>
    <w:p>
      <w:pPr>
        <w:jc w:val="both"/>
      </w:pPr>
      <w:r>
        <w:rPr>
          <w:sz w:val="24"/>
        </w:rPr>
        <w:t>委托方</w:t>
      </w:r>
      <w:r>
        <w:rPr>
          <w:sz w:val="24"/>
        </w:rPr>
        <w:t>(</w:t>
      </w:r>
      <w:r>
        <w:rPr>
          <w:sz w:val="24"/>
        </w:rPr>
        <w:t>甲方</w:t>
      </w:r>
      <w:r>
        <w:rPr>
          <w:sz w:val="24"/>
        </w:rPr>
        <w:t>)</w:t>
      </w:r>
      <w:r>
        <w:rPr>
          <w:sz w:val="24"/>
        </w:rPr>
        <w:t>：</w:t>
      </w:r>
      <w:r>
        <w:rPr>
          <w:sz w:val="24"/>
          <w:u w:val="single"/>
        </w:rPr>
        <w:t xml:space="preserve"> </w:t>
      </w:r>
      <w:r>
        <w:rPr>
          <w:sz w:val="24"/>
          <w:u w:val="single"/>
        </w:rPr>
        <w:t>广州市南沙新区明珠湾开发建设管理局</w:t>
      </w:r>
      <w:r>
        <w:rPr>
          <w:sz w:val="24"/>
          <w:u w:val="single"/>
        </w:rPr>
        <w:t xml:space="preserve"> </w:t>
      </w:r>
    </w:p>
    <w:p>
      <w:pPr>
        <w:jc w:val="both"/>
      </w:pPr>
      <w:r>
        <w:rPr>
          <w:sz w:val="24"/>
        </w:rPr>
        <w:t>住</w:t>
      </w:r>
      <w:r>
        <w:rPr>
          <w:sz w:val="24"/>
        </w:rPr>
        <w:t xml:space="preserve"> </w:t>
      </w:r>
      <w:r>
        <w:rPr>
          <w:sz w:val="24"/>
        </w:rPr>
        <w:t>所</w:t>
      </w:r>
      <w:r>
        <w:rPr>
          <w:sz w:val="24"/>
        </w:rPr>
        <w:t xml:space="preserve"> </w:t>
      </w:r>
      <w:r>
        <w:rPr>
          <w:sz w:val="24"/>
        </w:rPr>
        <w:t>地：</w:t>
      </w:r>
      <w:r>
        <w:rPr>
          <w:sz w:val="24"/>
          <w:u w:val="single"/>
        </w:rPr>
        <w:t xml:space="preserve">                                       </w:t>
      </w:r>
    </w:p>
    <w:p>
      <w:pPr>
        <w:jc w:val="both"/>
      </w:pPr>
      <w:r>
        <w:rPr>
          <w:sz w:val="24"/>
        </w:rPr>
        <w:t>法定代表人：</w:t>
      </w:r>
      <w:r>
        <w:rPr>
          <w:sz w:val="24"/>
          <w:u w:val="single"/>
        </w:rPr>
        <w:t xml:space="preserve"> </w:t>
      </w:r>
      <w:r>
        <w:rPr>
          <w:sz w:val="24"/>
          <w:u w:val="single"/>
        </w:rPr>
        <w:t xml:space="preserve">      </w:t>
      </w:r>
    </w:p>
    <w:p>
      <w:pPr>
        <w:jc w:val="both"/>
      </w:pPr>
      <w:r>
        <w:rPr>
          <w:sz w:val="24"/>
        </w:rPr>
        <w:t>项目联系人：</w:t>
      </w:r>
      <w:r>
        <w:rPr>
          <w:sz w:val="24"/>
          <w:u w:val="single"/>
        </w:rPr>
        <w:t xml:space="preserve"> </w:t>
      </w:r>
      <w:r>
        <w:rPr>
          <w:sz w:val="24"/>
          <w:u w:val="single"/>
        </w:rPr>
        <w:t xml:space="preserve">        </w:t>
      </w:r>
    </w:p>
    <w:p>
      <w:pPr>
        <w:jc w:val="both"/>
      </w:pPr>
      <w:r>
        <w:rPr>
          <w:sz w:val="24"/>
        </w:rPr>
        <w:t>联系方式：</w:t>
      </w:r>
      <w:r>
        <w:rPr>
          <w:sz w:val="24"/>
          <w:u w:val="single"/>
        </w:rPr>
        <w:t xml:space="preserve">                </w:t>
      </w:r>
    </w:p>
    <w:p>
      <w:pPr>
        <w:jc w:val="both"/>
      </w:pPr>
      <w:r>
        <w:rPr>
          <w:sz w:val="24"/>
        </w:rPr>
        <w:t>通讯地址：</w:t>
      </w:r>
      <w:r>
        <w:rPr>
          <w:sz w:val="24"/>
          <w:u w:val="single"/>
        </w:rPr>
        <w:t xml:space="preserve">   </w:t>
      </w:r>
      <w:r>
        <w:rPr>
          <w:sz w:val="24"/>
          <w:u w:val="single"/>
        </w:rPr>
        <w:t xml:space="preserve">                     </w:t>
      </w:r>
    </w:p>
    <w:p>
      <w:pPr>
        <w:jc w:val="both"/>
      </w:pPr>
      <w:r>
        <w:rPr>
          <w:sz w:val="24"/>
        </w:rPr>
        <w:t>电</w:t>
      </w:r>
      <w:r>
        <w:rPr>
          <w:sz w:val="24"/>
        </w:rPr>
        <w:t xml:space="preserve">   </w:t>
      </w:r>
      <w:r>
        <w:rPr>
          <w:sz w:val="24"/>
        </w:rPr>
        <w:t>话：</w:t>
      </w:r>
      <w:r>
        <w:rPr>
          <w:sz w:val="24"/>
        </w:rPr>
        <w:t xml:space="preserve">  </w:t>
      </w:r>
      <w:r>
        <w:rPr>
          <w:sz w:val="24"/>
          <w:u w:val="single"/>
        </w:rPr>
        <w:t xml:space="preserve">             </w:t>
      </w:r>
      <w:r>
        <w:rPr>
          <w:sz w:val="24"/>
        </w:rPr>
        <w:t xml:space="preserve">  </w:t>
      </w:r>
      <w:r>
        <w:rPr>
          <w:sz w:val="24"/>
        </w:rPr>
        <w:t>传</w:t>
      </w:r>
      <w:r>
        <w:rPr>
          <w:sz w:val="24"/>
        </w:rPr>
        <w:t xml:space="preserve">   </w:t>
      </w:r>
      <w:r>
        <w:rPr>
          <w:sz w:val="24"/>
        </w:rPr>
        <w:t>真：</w:t>
      </w:r>
      <w:r>
        <w:rPr>
          <w:sz w:val="24"/>
        </w:rPr>
        <w:t xml:space="preserve"> </w:t>
      </w:r>
      <w:r>
        <w:rPr>
          <w:sz w:val="24"/>
          <w:u w:val="single"/>
        </w:rPr>
        <w:t xml:space="preserve">                  </w:t>
      </w:r>
    </w:p>
    <w:p>
      <w:pPr>
        <w:jc w:val="both"/>
      </w:pPr>
      <w:r>
        <w:rPr>
          <w:sz w:val="24"/>
        </w:rPr>
        <w:t>电子信箱：</w:t>
      </w:r>
      <w:r>
        <w:rPr>
          <w:sz w:val="24"/>
        </w:rPr>
        <w:t xml:space="preserve">  </w:t>
      </w:r>
      <w:r>
        <w:rPr>
          <w:sz w:val="24"/>
          <w:u w:val="single"/>
        </w:rPr>
        <w:t xml:space="preserve">            </w:t>
      </w:r>
    </w:p>
    <w:p>
      <w:pPr>
        <w:jc w:val="both"/>
      </w:pPr>
      <w:r>
        <w:rPr>
          <w:sz w:val="24"/>
        </w:rPr>
        <w:t>受托方</w:t>
      </w:r>
      <w:r>
        <w:rPr>
          <w:sz w:val="24"/>
        </w:rPr>
        <w:t>(</w:t>
      </w:r>
      <w:r>
        <w:rPr>
          <w:sz w:val="24"/>
        </w:rPr>
        <w:t>乙方</w:t>
      </w:r>
      <w:r>
        <w:rPr>
          <w:sz w:val="24"/>
        </w:rPr>
        <w:t>)</w:t>
      </w:r>
      <w:r>
        <w:rPr>
          <w:sz w:val="24"/>
        </w:rPr>
        <w:t>：</w:t>
      </w:r>
      <w:r>
        <w:rPr>
          <w:sz w:val="24"/>
          <w:u w:val="single"/>
        </w:rPr>
        <w:t xml:space="preserve"> </w:t>
      </w:r>
      <w:r>
        <w:rPr>
          <w:sz w:val="24"/>
          <w:u w:val="single"/>
        </w:rPr>
        <w:t xml:space="preserve"> </w:t>
      </w:r>
      <w:r>
        <w:rPr>
          <w:sz w:val="24"/>
          <w:u w:val="single"/>
        </w:rPr>
        <w:t xml:space="preserve">  </w:t>
      </w:r>
    </w:p>
    <w:p>
      <w:pPr>
        <w:jc w:val="both"/>
      </w:pPr>
      <w:r>
        <w:rPr>
          <w:sz w:val="24"/>
        </w:rPr>
        <w:t>住</w:t>
      </w:r>
      <w:r>
        <w:rPr>
          <w:sz w:val="24"/>
        </w:rPr>
        <w:t xml:space="preserve"> </w:t>
      </w:r>
      <w:r>
        <w:rPr>
          <w:sz w:val="24"/>
        </w:rPr>
        <w:t>所</w:t>
      </w:r>
      <w:r>
        <w:rPr>
          <w:sz w:val="24"/>
        </w:rPr>
        <w:t xml:space="preserve"> </w:t>
      </w:r>
      <w:r>
        <w:rPr>
          <w:sz w:val="24"/>
        </w:rPr>
        <w:t>地：</w:t>
      </w:r>
      <w:r>
        <w:rPr>
          <w:sz w:val="24"/>
          <w:u w:val="single"/>
        </w:rPr>
        <w:t xml:space="preserve"> </w:t>
      </w:r>
      <w:r>
        <w:rPr>
          <w:sz w:val="24"/>
          <w:u w:val="single"/>
        </w:rPr>
        <w:t xml:space="preserve"> </w:t>
      </w:r>
    </w:p>
    <w:p>
      <w:pPr>
        <w:jc w:val="both"/>
      </w:pPr>
      <w:r>
        <w:rPr>
          <w:sz w:val="24"/>
        </w:rPr>
        <w:t>法定代表人：</w:t>
      </w:r>
      <w:r>
        <w:rPr>
          <w:sz w:val="24"/>
          <w:u w:val="single"/>
        </w:rPr>
        <w:t xml:space="preserve"> </w:t>
      </w:r>
      <w:r>
        <w:rPr>
          <w:sz w:val="24"/>
          <w:u w:val="single"/>
        </w:rPr>
        <w:t xml:space="preserve"> </w:t>
      </w:r>
      <w:r>
        <w:rPr>
          <w:sz w:val="24"/>
          <w:u w:val="single"/>
        </w:rPr>
        <w:t xml:space="preserve">  </w:t>
      </w:r>
    </w:p>
    <w:p>
      <w:pPr>
        <w:jc w:val="both"/>
      </w:pPr>
      <w:r>
        <w:rPr>
          <w:sz w:val="24"/>
        </w:rPr>
        <w:t>项目联系人：</w:t>
      </w:r>
      <w:r>
        <w:rPr>
          <w:sz w:val="24"/>
          <w:u w:val="single"/>
        </w:rPr>
        <w:t xml:space="preserve"> </w:t>
      </w:r>
      <w:r>
        <w:rPr>
          <w:sz w:val="24"/>
          <w:u w:val="single"/>
        </w:rPr>
        <w:t xml:space="preserve"> </w:t>
      </w:r>
      <w:r>
        <w:rPr>
          <w:sz w:val="24"/>
          <w:u w:val="single"/>
        </w:rPr>
        <w:t xml:space="preserve">  </w:t>
      </w:r>
    </w:p>
    <w:p>
      <w:pPr>
        <w:jc w:val="both"/>
      </w:pPr>
      <w:r>
        <w:rPr>
          <w:sz w:val="24"/>
        </w:rPr>
        <w:t>联系方式</w:t>
      </w:r>
      <w:r>
        <w:rPr>
          <w:sz w:val="24"/>
        </w:rPr>
        <w:t>:</w:t>
      </w:r>
      <w:r>
        <w:rPr>
          <w:sz w:val="24"/>
          <w:u w:val="single"/>
        </w:rPr>
        <w:t xml:space="preserve"> </w:t>
      </w:r>
      <w:r>
        <w:rPr>
          <w:sz w:val="24"/>
          <w:u w:val="single"/>
        </w:rPr>
        <w:t xml:space="preserve">           </w:t>
      </w:r>
      <w:r>
        <w:rPr>
          <w:sz w:val="24"/>
          <w:u w:val="single"/>
        </w:rPr>
        <w:t xml:space="preserve">  </w:t>
      </w:r>
    </w:p>
    <w:p>
      <w:pPr>
        <w:jc w:val="left"/>
      </w:pPr>
      <w:r>
        <w:rPr>
          <w:sz w:val="24"/>
        </w:rPr>
        <w:t>通讯地址：</w:t>
      </w:r>
      <w:r>
        <w:rPr>
          <w:sz w:val="24"/>
          <w:u w:val="single"/>
        </w:rPr>
        <w:t xml:space="preserve">      </w:t>
      </w:r>
      <w:r>
        <w:rPr>
          <w:sz w:val="24"/>
          <w:u w:val="single"/>
        </w:rPr>
        <w:t xml:space="preserve"> </w:t>
      </w:r>
      <w:r>
        <w:rPr>
          <w:sz w:val="24"/>
        </w:rPr>
        <w:t xml:space="preserve"> </w:t>
      </w:r>
      <w:r>
        <w:rPr>
          <w:sz w:val="24"/>
          <w:u w:val="single"/>
        </w:rPr>
        <w:t xml:space="preserve"> </w:t>
      </w:r>
    </w:p>
    <w:p>
      <w:pPr>
        <w:jc w:val="both"/>
      </w:pPr>
      <w:r>
        <w:rPr>
          <w:sz w:val="24"/>
        </w:rPr>
        <w:t>电</w:t>
      </w:r>
      <w:r>
        <w:rPr>
          <w:sz w:val="24"/>
        </w:rPr>
        <w:t xml:space="preserve">   </w:t>
      </w:r>
      <w:r>
        <w:rPr>
          <w:sz w:val="24"/>
        </w:rPr>
        <w:t>话：</w:t>
      </w:r>
      <w:r>
        <w:rPr>
          <w:sz w:val="24"/>
          <w:u w:val="single"/>
        </w:rPr>
        <w:t xml:space="preserve">     </w:t>
      </w:r>
      <w:r>
        <w:rPr>
          <w:sz w:val="24"/>
          <w:u w:val="single"/>
        </w:rPr>
        <w:t xml:space="preserve"> </w:t>
      </w:r>
      <w:r>
        <w:rPr>
          <w:sz w:val="24"/>
        </w:rPr>
        <w:t xml:space="preserve"> </w:t>
      </w:r>
      <w:r>
        <w:rPr>
          <w:sz w:val="24"/>
        </w:rPr>
        <w:t>传真：</w:t>
      </w:r>
      <w:r>
        <w:rPr>
          <w:sz w:val="24"/>
          <w:u w:val="single"/>
        </w:rPr>
        <w:t xml:space="preserve">    </w:t>
      </w:r>
      <w:r>
        <w:rPr>
          <w:sz w:val="24"/>
          <w:u w:val="single"/>
        </w:rPr>
        <w:t xml:space="preserve"> </w:t>
      </w:r>
    </w:p>
    <w:p>
      <w:pPr>
        <w:jc w:val="both"/>
      </w:pPr>
      <w:r>
        <w:rPr>
          <w:sz w:val="24"/>
        </w:rPr>
        <w:t>电子信箱：</w:t>
      </w:r>
      <w:r>
        <w:rPr>
          <w:sz w:val="24"/>
          <w:u w:val="single"/>
        </w:rPr>
        <w:t xml:space="preserve"> </w:t>
      </w:r>
      <w:r>
        <w:rPr>
          <w:sz w:val="24"/>
        </w:rPr>
        <w:t xml:space="preserve">  </w:t>
      </w:r>
      <w:r>
        <w:rPr>
          <w:sz w:val="24"/>
          <w:u w:val="single"/>
        </w:rPr>
        <w:t xml:space="preserve"> </w:t>
      </w:r>
    </w:p>
    <w:p>
      <w:pPr>
        <w:ind w:firstLine="420"/>
        <w:jc w:val="both"/>
      </w:pPr>
    </w:p>
    <w:p/>
    <w:p>
      <w:r>
        <w:rPr>
          <w:sz w:val="24"/>
        </w:rPr>
        <w:t>本合同甲方委托乙方就</w:t>
      </w:r>
      <w:r>
        <w:rPr>
          <w:sz w:val="24"/>
          <w:u w:val="single"/>
        </w:rPr>
        <w:t>明珠湾起步区灵山岛尖</w:t>
      </w:r>
      <w:r>
        <w:rPr>
          <w:sz w:val="24"/>
          <w:u w:val="single"/>
        </w:rPr>
        <w:t>C2</w:t>
      </w:r>
      <w:r>
        <w:rPr>
          <w:sz w:val="24"/>
          <w:u w:val="single"/>
        </w:rPr>
        <w:t>单元高水平国际城市风貌管控技术服务</w:t>
      </w:r>
      <w:r>
        <w:rPr>
          <w:sz w:val="24"/>
        </w:rPr>
        <w:t>进行专项技术服务，并支付相应的技术服务报酬。双方经过平等协商，在真实、充分地表达各自意愿的基础上，根据《中华人民共和国</w:t>
      </w:r>
      <w:r>
        <w:rPr>
          <w:sz w:val="24"/>
        </w:rPr>
        <w:t>民法典</w:t>
      </w:r>
      <w:r>
        <w:rPr>
          <w:sz w:val="24"/>
        </w:rPr>
        <w:t>》的规定，达成如下协议，并由双方共同恪守。</w:t>
      </w:r>
    </w:p>
    <w:p>
      <w:r>
        <w:rPr/>
        <w:t xml:space="preserve"> </w:t>
      </w:r>
    </w:p>
    <w:p>
      <w:pPr>
        <w:jc w:val="both"/>
      </w:pPr>
      <w:r>
        <w:rPr>
          <w:b/>
          <w:sz w:val="24"/>
        </w:rPr>
        <w:t>第一条</w:t>
      </w:r>
      <w:r>
        <w:rPr>
          <w:b/>
          <w:sz w:val="24"/>
        </w:rPr>
        <w:t xml:space="preserve"> </w:t>
      </w:r>
      <w:r>
        <w:rPr>
          <w:b/>
          <w:sz w:val="24"/>
        </w:rPr>
        <w:t>甲方委托乙方进行技术服务的内容如下：</w:t>
      </w:r>
    </w:p>
    <w:p>
      <w:pPr>
        <w:ind w:firstLine="420"/>
        <w:jc w:val="both"/>
      </w:pPr>
      <w:r>
        <w:rPr>
          <w:sz w:val="24"/>
        </w:rPr>
        <w:t>1</w:t>
      </w:r>
      <w:r>
        <w:rPr>
          <w:sz w:val="24"/>
        </w:rPr>
        <w:t>．技术服务的目标：</w:t>
      </w:r>
    </w:p>
    <w:p>
      <w:pPr>
        <w:ind w:firstLine="480"/>
        <w:jc w:val="both"/>
      </w:pPr>
      <w:r>
        <w:rPr>
          <w:sz w:val="24"/>
          <w:u w:val="single"/>
        </w:rPr>
        <w:t>（</w:t>
      </w:r>
      <w:r>
        <w:rPr>
          <w:sz w:val="24"/>
          <w:u w:val="single"/>
        </w:rPr>
        <w:t>1</w:t>
      </w:r>
      <w:r>
        <w:rPr>
          <w:sz w:val="24"/>
          <w:u w:val="single"/>
        </w:rPr>
        <w:t>）结合前期研究成果中的明珠湾中的定位，提升地区整体形象和综合竞争力；</w:t>
      </w:r>
    </w:p>
    <w:p>
      <w:pPr>
        <w:ind w:firstLine="420"/>
        <w:jc w:val="both"/>
      </w:pPr>
      <w:r>
        <w:rPr>
          <w:sz w:val="24"/>
          <w:u w:val="single"/>
        </w:rPr>
        <w:t>（</w:t>
      </w:r>
      <w:r>
        <w:rPr>
          <w:sz w:val="24"/>
          <w:u w:val="single"/>
        </w:rPr>
        <w:t>2</w:t>
      </w:r>
      <w:r>
        <w:rPr>
          <w:sz w:val="24"/>
          <w:u w:val="single"/>
        </w:rPr>
        <w:t>）综合配套高效优质的公共服务体系，形成完备的服务配套体系，将明珠湾起步区</w:t>
      </w:r>
      <w:r>
        <w:rPr>
          <w:sz w:val="24"/>
          <w:u w:val="single"/>
        </w:rPr>
        <w:t>C2</w:t>
      </w:r>
      <w:r>
        <w:rPr>
          <w:sz w:val="24"/>
          <w:u w:val="single"/>
        </w:rPr>
        <w:t>单元打造成为高效的人性化城区；</w:t>
      </w:r>
    </w:p>
    <w:p>
      <w:pPr>
        <w:ind w:firstLine="420"/>
        <w:jc w:val="both"/>
      </w:pPr>
      <w:r>
        <w:rPr>
          <w:sz w:val="24"/>
          <w:u w:val="single"/>
        </w:rPr>
        <w:t>（</w:t>
      </w:r>
      <w:r>
        <w:rPr>
          <w:sz w:val="24"/>
          <w:u w:val="single"/>
        </w:rPr>
        <w:t>3</w:t>
      </w:r>
      <w:r>
        <w:rPr>
          <w:sz w:val="24"/>
          <w:u w:val="single"/>
        </w:rPr>
        <w:t>）增强规划的灵活性和弹性。区分强制性控制要素与弹性控制要素，使之可以随着未来建设需求的变化而进行动态调整和有机完善。</w:t>
      </w:r>
    </w:p>
    <w:p>
      <w:pPr>
        <w:ind w:firstLine="420"/>
        <w:jc w:val="both"/>
      </w:pPr>
      <w:r>
        <w:rPr>
          <w:sz w:val="24"/>
          <w:u w:val="single"/>
        </w:rPr>
        <w:t>（</w:t>
      </w:r>
      <w:r>
        <w:rPr>
          <w:sz w:val="24"/>
          <w:u w:val="single"/>
        </w:rPr>
        <w:t>4</w:t>
      </w:r>
      <w:r>
        <w:rPr>
          <w:sz w:val="24"/>
          <w:u w:val="single"/>
        </w:rPr>
        <w:t>）体现地域特征的现代城市风貌，创新城市特色。</w:t>
      </w:r>
    </w:p>
    <w:p>
      <w:pPr>
        <w:ind w:firstLine="420"/>
        <w:jc w:val="both"/>
      </w:pPr>
      <w:r>
        <w:rPr>
          <w:sz w:val="24"/>
          <w:u w:val="single"/>
        </w:rPr>
        <w:t>（</w:t>
      </w:r>
      <w:r>
        <w:rPr>
          <w:sz w:val="24"/>
          <w:u w:val="single"/>
        </w:rPr>
        <w:t>5</w:t>
      </w:r>
      <w:r>
        <w:rPr>
          <w:sz w:val="24"/>
          <w:u w:val="single"/>
        </w:rPr>
        <w:t>）构建以人为本的综合交通系统，统筹考虑各种交通方式（如有轨电车、地铁、水运、行人系统等）的相互衔接。</w:t>
      </w:r>
    </w:p>
    <w:p>
      <w:pPr>
        <w:ind w:firstLine="420"/>
        <w:jc w:val="both"/>
      </w:pPr>
      <w:r>
        <w:rPr>
          <w:sz w:val="24"/>
          <w:u w:val="single"/>
        </w:rPr>
        <w:t>（</w:t>
      </w:r>
      <w:r>
        <w:rPr>
          <w:sz w:val="24"/>
          <w:u w:val="single"/>
        </w:rPr>
        <w:t>6</w:t>
      </w:r>
      <w:r>
        <w:rPr>
          <w:sz w:val="24"/>
          <w:u w:val="single"/>
        </w:rPr>
        <w:t>）地下空间综合开发，营造积极的、安全的、舒适的地下空间环境。</w:t>
      </w:r>
    </w:p>
    <w:p>
      <w:pPr>
        <w:ind w:firstLine="420"/>
        <w:jc w:val="both"/>
      </w:pPr>
      <w:r>
        <w:rPr>
          <w:sz w:val="24"/>
          <w:u w:val="single"/>
        </w:rPr>
        <w:t>（</w:t>
      </w:r>
      <w:r>
        <w:rPr>
          <w:sz w:val="24"/>
          <w:u w:val="single"/>
        </w:rPr>
        <w:t>7</w:t>
      </w:r>
      <w:r>
        <w:rPr>
          <w:sz w:val="24"/>
          <w:u w:val="single"/>
        </w:rPr>
        <w:t>）活化水系绿地生态空间。响应绿色生态的潮流，做好高标准的绿色、环保、生态设计目标。</w:t>
      </w:r>
    </w:p>
    <w:p>
      <w:pPr>
        <w:ind w:firstLine="420"/>
        <w:jc w:val="both"/>
      </w:pPr>
      <w:r>
        <w:rPr>
          <w:sz w:val="24"/>
          <w:u w:val="single"/>
        </w:rPr>
        <w:t>（</w:t>
      </w:r>
      <w:r>
        <w:rPr>
          <w:sz w:val="24"/>
          <w:u w:val="single"/>
        </w:rPr>
        <w:t>8</w:t>
      </w:r>
      <w:r>
        <w:rPr>
          <w:sz w:val="24"/>
          <w:u w:val="single"/>
        </w:rPr>
        <w:t>）创建先进的低碳智慧城市，发展绿色建筑，贯彻执行节约资源和保护环境的国家技术经济政策，实现低碳、生态、绿色园区的目标。</w:t>
      </w:r>
    </w:p>
    <w:p>
      <w:pPr>
        <w:ind w:firstLine="420"/>
        <w:jc w:val="both"/>
      </w:pPr>
      <w:r>
        <w:rPr>
          <w:sz w:val="24"/>
          <w:u w:val="single"/>
        </w:rPr>
        <w:t>（</w:t>
      </w:r>
      <w:r>
        <w:rPr>
          <w:sz w:val="24"/>
          <w:u w:val="single"/>
        </w:rPr>
        <w:t>9</w:t>
      </w:r>
      <w:r>
        <w:rPr>
          <w:sz w:val="24"/>
          <w:u w:val="single"/>
        </w:rPr>
        <w:t>）精细化规划引领新型城市化。更新规划理念，实现土地经济效益。</w:t>
      </w:r>
    </w:p>
    <w:p>
      <w:pPr>
        <w:ind w:firstLine="420"/>
        <w:jc w:val="both"/>
      </w:pPr>
      <w:r>
        <w:rPr>
          <w:sz w:val="24"/>
          <w:u w:val="single"/>
        </w:rPr>
        <w:t>（</w:t>
      </w:r>
      <w:r>
        <w:rPr>
          <w:sz w:val="24"/>
          <w:u w:val="single"/>
        </w:rPr>
        <w:t>10</w:t>
      </w:r>
      <w:r>
        <w:rPr>
          <w:sz w:val="24"/>
          <w:u w:val="single"/>
        </w:rPr>
        <w:t>）遵循国家和地方城市规划与建筑设计的有关法律、法规及规范，并符合设计任务书的规定。</w:t>
      </w:r>
    </w:p>
    <w:p>
      <w:pPr>
        <w:ind w:firstLine="420"/>
        <w:jc w:val="both"/>
      </w:pPr>
      <w:r>
        <w:rPr>
          <w:sz w:val="24"/>
        </w:rPr>
        <w:t>2</w:t>
      </w:r>
      <w:r>
        <w:rPr>
          <w:sz w:val="24"/>
        </w:rPr>
        <w:t>．技术服务的内容：</w:t>
      </w:r>
    </w:p>
    <w:p>
      <w:pPr>
        <w:ind w:firstLine="420"/>
        <w:jc w:val="both"/>
      </w:pPr>
      <w:r>
        <w:rPr>
          <w:sz w:val="24"/>
          <w:u w:val="single"/>
        </w:rPr>
        <w:t>地区城市总设计师</w:t>
      </w:r>
    </w:p>
    <w:p>
      <w:pPr>
        <w:ind w:firstLine="420"/>
        <w:jc w:val="both"/>
      </w:pPr>
      <w:r>
        <w:rPr>
          <w:sz w:val="24"/>
          <w:u w:val="single"/>
        </w:rPr>
        <w:t>在建设单位提交内容完整的设计成果基础上，以会议或会办的形式审查设计成果，出具审查意见。以参会或会办的方式参加</w:t>
      </w:r>
      <w:r>
        <w:rPr>
          <w:sz w:val="24"/>
          <w:u w:val="single"/>
        </w:rPr>
        <w:t>①土地出让前期方案研讨、②地段内相关规划及城市设计研讨、③土地出让规划条件阶段、④地块初步方案咨询阶段、⑤地块修建性详细规划咨询阶段、⑥地块修建性详细规划正式阶段、⑦地块建筑工程许可证咨询阶段、⑧地块建筑工程许可证正式阶段、⑨地块验收阶段等阶段涉及公共空间的相关会议或出具意见，协助项目工作推进。</w:t>
      </w:r>
    </w:p>
    <w:p>
      <w:pPr>
        <w:ind w:firstLine="420"/>
        <w:jc w:val="both"/>
      </w:pPr>
      <w:r>
        <w:rPr>
          <w:sz w:val="24"/>
        </w:rPr>
        <w:t>3.</w:t>
      </w:r>
      <w:r>
        <w:rPr>
          <w:sz w:val="24"/>
        </w:rPr>
        <w:t>技术服务的方式：</w:t>
      </w:r>
      <w:r>
        <w:rPr>
          <w:sz w:val="24"/>
          <w:u w:val="single"/>
        </w:rPr>
        <w:t>乙方按照双方约定的合同要求向甲方提供《报告》文本（纸质版及电子版）。</w:t>
      </w:r>
    </w:p>
    <w:p>
      <w:pPr>
        <w:jc w:val="both"/>
      </w:pPr>
      <w:r>
        <w:rPr>
          <w:b/>
          <w:sz w:val="24"/>
        </w:rPr>
        <w:t>第二条</w:t>
      </w:r>
      <w:r>
        <w:rPr>
          <w:b/>
          <w:sz w:val="24"/>
        </w:rPr>
        <w:t>乙方应按下列要求完成技术服务工作：</w:t>
      </w:r>
    </w:p>
    <w:p>
      <w:pPr>
        <w:ind w:firstLine="420"/>
        <w:jc w:val="both"/>
      </w:pPr>
      <w:r>
        <w:rPr>
          <w:sz w:val="24"/>
        </w:rPr>
        <w:t>1</w:t>
      </w:r>
      <w:r>
        <w:rPr>
          <w:sz w:val="24"/>
        </w:rPr>
        <w:t>．技术服务地点：</w:t>
      </w:r>
      <w:r>
        <w:rPr>
          <w:sz w:val="24"/>
        </w:rPr>
        <w:t>广州市南沙区。</w:t>
      </w:r>
    </w:p>
    <w:p>
      <w:pPr>
        <w:ind w:firstLine="420"/>
        <w:jc w:val="both"/>
      </w:pPr>
      <w:r>
        <w:rPr>
          <w:sz w:val="24"/>
        </w:rPr>
        <w:t>2</w:t>
      </w:r>
      <w:r>
        <w:rPr>
          <w:sz w:val="24"/>
        </w:rPr>
        <w:t>．技术服务期限：服务期自双方签署本合同之日起计，地区城市总设计师咨询服务为期</w:t>
      </w:r>
      <w:r>
        <w:rPr>
          <w:sz w:val="24"/>
        </w:rPr>
        <w:t>36</w:t>
      </w:r>
      <w:r>
        <w:rPr>
          <w:sz w:val="24"/>
        </w:rPr>
        <w:t>个月</w:t>
      </w:r>
      <w:r>
        <w:rPr>
          <w:sz w:val="24"/>
        </w:rPr>
        <w:t>。</w:t>
      </w:r>
      <w:r>
        <w:rPr>
          <w:sz w:val="24"/>
        </w:rPr>
        <w:t xml:space="preserve"> </w:t>
      </w:r>
    </w:p>
    <w:p>
      <w:pPr>
        <w:jc w:val="both"/>
      </w:pPr>
      <w:r>
        <w:rPr>
          <w:b/>
          <w:sz w:val="24"/>
        </w:rPr>
        <w:t>第三条</w:t>
      </w:r>
      <w:r>
        <w:rPr>
          <w:b/>
          <w:sz w:val="24"/>
        </w:rPr>
        <w:t>为保证乙方有效进行技术服务工作，甲方应当向乙方提供下列工作条件和协作事项：</w:t>
      </w:r>
    </w:p>
    <w:p>
      <w:pPr>
        <w:ind w:firstLine="420"/>
        <w:jc w:val="both"/>
      </w:pPr>
      <w:r>
        <w:rPr>
          <w:sz w:val="24"/>
        </w:rPr>
        <w:t>1</w:t>
      </w:r>
      <w:r>
        <w:rPr>
          <w:sz w:val="24"/>
        </w:rPr>
        <w:t>．提供技术资料：</w:t>
      </w:r>
    </w:p>
    <w:p>
      <w:pPr>
        <w:ind w:firstLine="420"/>
        <w:jc w:val="both"/>
      </w:pPr>
      <w:r>
        <w:rPr>
          <w:sz w:val="24"/>
        </w:rPr>
        <w:t>（</w:t>
      </w:r>
      <w:r>
        <w:rPr>
          <w:sz w:val="24"/>
        </w:rPr>
        <w:t>1</w:t>
      </w:r>
      <w:r>
        <w:rPr>
          <w:sz w:val="24"/>
        </w:rPr>
        <w:t>）</w:t>
      </w:r>
      <w:r>
        <w:rPr>
          <w:sz w:val="24"/>
          <w:u w:val="single"/>
        </w:rPr>
        <w:t>区域详细规划资料等；</w:t>
      </w:r>
    </w:p>
    <w:p>
      <w:pPr>
        <w:ind w:firstLine="420"/>
        <w:jc w:val="both"/>
      </w:pPr>
      <w:r>
        <w:rPr>
          <w:sz w:val="24"/>
        </w:rPr>
        <w:t>（</w:t>
      </w:r>
      <w:r>
        <w:rPr>
          <w:sz w:val="24"/>
        </w:rPr>
        <w:t>2</w:t>
      </w:r>
      <w:r>
        <w:rPr>
          <w:sz w:val="24"/>
        </w:rPr>
        <w:t>）</w:t>
      </w:r>
      <w:r>
        <w:rPr>
          <w:sz w:val="24"/>
          <w:u w:val="single"/>
        </w:rPr>
        <w:t>区域已建、在建及已完成方案报批的工程资料等；</w:t>
      </w:r>
    </w:p>
    <w:p>
      <w:pPr>
        <w:ind w:firstLine="420"/>
        <w:jc w:val="both"/>
      </w:pPr>
      <w:r>
        <w:rPr>
          <w:sz w:val="24"/>
        </w:rPr>
        <w:t>（</w:t>
      </w:r>
      <w:r>
        <w:rPr>
          <w:sz w:val="24"/>
        </w:rPr>
        <w:t>3</w:t>
      </w:r>
      <w:r>
        <w:rPr>
          <w:sz w:val="24"/>
        </w:rPr>
        <w:t>）</w:t>
      </w:r>
      <w:r>
        <w:rPr>
          <w:sz w:val="24"/>
          <w:u w:val="single"/>
        </w:rPr>
        <w:t>其他现状基础资料。</w:t>
      </w:r>
    </w:p>
    <w:p>
      <w:pPr>
        <w:ind w:firstLine="420"/>
        <w:jc w:val="both"/>
      </w:pPr>
      <w:r>
        <w:rPr>
          <w:sz w:val="24"/>
        </w:rPr>
        <w:t>2</w:t>
      </w:r>
      <w:r>
        <w:rPr>
          <w:sz w:val="24"/>
        </w:rPr>
        <w:t>．提供工作条件</w:t>
      </w:r>
      <w:r>
        <w:rPr>
          <w:sz w:val="24"/>
          <w:u w:val="single"/>
        </w:rPr>
        <w:t>：配合</w:t>
      </w:r>
      <w:r>
        <w:rPr>
          <w:sz w:val="24"/>
          <w:u w:val="single"/>
        </w:rPr>
        <w:t>调研，协调与相关部门和评审专家沟通。</w:t>
      </w:r>
      <w:r>
        <w:rPr>
          <w:sz w:val="24"/>
          <w:u w:val="single"/>
        </w:rPr>
        <w:t xml:space="preserve">   </w:t>
      </w:r>
    </w:p>
    <w:p>
      <w:pPr>
        <w:ind w:firstLine="420"/>
        <w:jc w:val="both"/>
      </w:pPr>
      <w:r>
        <w:rPr>
          <w:sz w:val="24"/>
        </w:rPr>
        <w:t>3</w:t>
      </w:r>
      <w:r>
        <w:rPr>
          <w:sz w:val="24"/>
        </w:rPr>
        <w:t>．其他：</w:t>
      </w:r>
      <w:r>
        <w:rPr>
          <w:sz w:val="24"/>
          <w:u w:val="single"/>
        </w:rPr>
        <w:t>无</w:t>
      </w:r>
      <w:r>
        <w:rPr>
          <w:sz w:val="24"/>
        </w:rPr>
        <w:t>。</w:t>
      </w:r>
    </w:p>
    <w:p>
      <w:pPr>
        <w:ind w:firstLine="420"/>
        <w:jc w:val="both"/>
      </w:pPr>
      <w:r>
        <w:rPr>
          <w:sz w:val="24"/>
        </w:rPr>
        <w:t>4</w:t>
      </w:r>
      <w:r>
        <w:rPr>
          <w:sz w:val="24"/>
        </w:rPr>
        <w:t>．甲方提供上述工作条件和协作事项的时间及方式：</w:t>
      </w:r>
      <w:r>
        <w:rPr>
          <w:sz w:val="24"/>
          <w:u w:val="single"/>
        </w:rPr>
        <w:t xml:space="preserve"> </w:t>
      </w:r>
      <w:r>
        <w:rPr>
          <w:sz w:val="24"/>
          <w:u w:val="single"/>
        </w:rPr>
        <w:t>按工作需要提供技术咨询及相关资料。</w:t>
      </w:r>
    </w:p>
    <w:p>
      <w:pPr>
        <w:jc w:val="both"/>
      </w:pPr>
      <w:r>
        <w:rPr>
          <w:b/>
          <w:sz w:val="24"/>
        </w:rPr>
        <w:t>第四条</w:t>
      </w:r>
      <w:r>
        <w:rPr>
          <w:b/>
          <w:sz w:val="24"/>
        </w:rPr>
        <w:t>甲方向乙方支付技术服务报酬及支付方式为：</w:t>
      </w:r>
    </w:p>
    <w:p>
      <w:pPr>
        <w:ind w:firstLine="420"/>
        <w:jc w:val="both"/>
      </w:pPr>
      <w:r>
        <w:rPr>
          <w:sz w:val="24"/>
        </w:rPr>
        <w:t>1</w:t>
      </w:r>
      <w:r>
        <w:rPr>
          <w:sz w:val="24"/>
        </w:rPr>
        <w:t>．技术服务费总额为：</w:t>
      </w:r>
      <w:r>
        <w:rPr>
          <w:sz w:val="24"/>
          <w:u w:val="single"/>
        </w:rPr>
        <w:t>人民币</w:t>
      </w:r>
      <w:r>
        <w:rPr>
          <w:sz w:val="24"/>
          <w:u w:val="single"/>
        </w:rPr>
        <w:t xml:space="preserve">      </w:t>
      </w:r>
      <w:r>
        <w:rPr>
          <w:sz w:val="24"/>
          <w:u w:val="single"/>
        </w:rPr>
        <w:t>元整（大写）</w:t>
      </w:r>
      <w:r>
        <w:rPr>
          <w:sz w:val="24"/>
        </w:rPr>
        <w:t>；</w:t>
      </w:r>
      <w:r>
        <w:rPr>
          <w:sz w:val="24"/>
          <w:u w:val="single"/>
        </w:rPr>
        <w:t>RMB</w:t>
      </w:r>
      <w:r>
        <w:rPr>
          <w:sz w:val="24"/>
          <w:u w:val="single"/>
        </w:rPr>
        <w:t>￥</w:t>
      </w:r>
      <w:r>
        <w:rPr>
          <w:sz w:val="24"/>
          <w:u w:val="single"/>
        </w:rPr>
        <w:t xml:space="preserve"> </w:t>
      </w:r>
      <w:r>
        <w:rPr>
          <w:sz w:val="24"/>
          <w:u w:val="single"/>
        </w:rPr>
        <w:t xml:space="preserve">            </w:t>
      </w:r>
      <w:r>
        <w:rPr>
          <w:sz w:val="24"/>
          <w:u w:val="single"/>
        </w:rPr>
        <w:t>元（小写）。</w:t>
      </w:r>
    </w:p>
    <w:p>
      <w:pPr>
        <w:ind w:firstLine="420"/>
        <w:jc w:val="both"/>
      </w:pPr>
      <w:r>
        <w:rPr>
          <w:sz w:val="24"/>
        </w:rPr>
        <w:t>2</w:t>
      </w:r>
      <w:r>
        <w:rPr>
          <w:sz w:val="24"/>
        </w:rPr>
        <w:t>．技术服务费由甲方</w:t>
      </w:r>
      <w:r>
        <w:rPr>
          <w:sz w:val="24"/>
          <w:u w:val="single"/>
        </w:rPr>
        <w:t>分期</w:t>
      </w:r>
      <w:r>
        <w:rPr>
          <w:sz w:val="24"/>
        </w:rPr>
        <w:t>支付乙方。</w:t>
      </w:r>
    </w:p>
    <w:p>
      <w:pPr>
        <w:ind w:firstLine="420"/>
        <w:jc w:val="both"/>
      </w:pPr>
      <w:r>
        <w:rPr>
          <w:sz w:val="24"/>
        </w:rPr>
        <w:t>具体支付方式：</w:t>
      </w:r>
    </w:p>
    <w:p>
      <w:pPr>
        <w:ind w:firstLine="420"/>
        <w:jc w:val="both"/>
      </w:pPr>
      <w:r>
        <w:rPr>
          <w:sz w:val="24"/>
        </w:rPr>
        <w:t>合同额为人民币</w:t>
      </w:r>
      <w:r>
        <w:rPr>
          <w:sz w:val="24"/>
          <w:u w:val="single"/>
        </w:rPr>
        <w:t xml:space="preserve"> </w:t>
      </w:r>
      <w:r>
        <w:rPr>
          <w:sz w:val="24"/>
          <w:u w:val="single"/>
        </w:rPr>
        <w:t xml:space="preserve">      </w:t>
      </w:r>
      <w:r>
        <w:rPr>
          <w:sz w:val="24"/>
          <w:u w:val="single"/>
        </w:rPr>
        <w:t xml:space="preserve"> </w:t>
      </w:r>
      <w:r>
        <w:rPr>
          <w:sz w:val="24"/>
        </w:rPr>
        <w:t xml:space="preserve"> </w:t>
      </w:r>
      <w:r>
        <w:rPr>
          <w:sz w:val="24"/>
          <w:u w:val="single"/>
        </w:rPr>
        <w:t xml:space="preserve"> </w:t>
      </w:r>
      <w:r>
        <w:rPr>
          <w:sz w:val="24"/>
        </w:rPr>
        <w:t>（</w:t>
      </w:r>
      <w:r>
        <w:rPr>
          <w:sz w:val="24"/>
        </w:rPr>
        <w:t>RMB</w:t>
      </w:r>
      <w:r>
        <w:rPr>
          <w:sz w:val="24"/>
        </w:rPr>
        <w:t>￥</w:t>
      </w:r>
      <w:r>
        <w:rPr>
          <w:sz w:val="24"/>
          <w:u w:val="single"/>
        </w:rPr>
        <w:t xml:space="preserve">      </w:t>
      </w:r>
      <w:r>
        <w:rPr>
          <w:sz w:val="24"/>
          <w:u w:val="single"/>
        </w:rPr>
        <w:t xml:space="preserve"> </w:t>
      </w:r>
      <w:r>
        <w:rPr>
          <w:sz w:val="24"/>
        </w:rPr>
        <w:t xml:space="preserve"> </w:t>
      </w:r>
      <w:r>
        <w:rPr>
          <w:sz w:val="24"/>
          <w:u w:val="single"/>
        </w:rPr>
        <w:t xml:space="preserve"> </w:t>
      </w:r>
      <w:r>
        <w:rPr>
          <w:sz w:val="24"/>
        </w:rPr>
        <w:t>元），本合同工作包含明珠湾起步区灵山岛尖</w:t>
      </w:r>
      <w:r>
        <w:rPr>
          <w:sz w:val="24"/>
        </w:rPr>
        <w:t>C2</w:t>
      </w:r>
      <w:r>
        <w:rPr>
          <w:sz w:val="24"/>
        </w:rPr>
        <w:t>单元所有地块项目，其中未出让地块数量为</w:t>
      </w:r>
      <w:r>
        <w:rPr>
          <w:sz w:val="24"/>
        </w:rPr>
        <w:t>20</w:t>
      </w:r>
      <w:r>
        <w:rPr>
          <w:sz w:val="24"/>
        </w:rPr>
        <w:t>块，若进行最后一笔支付时，剩余未出让地块数量</w:t>
      </w:r>
      <w:r>
        <w:rPr>
          <w:sz w:val="24"/>
        </w:rPr>
        <w:t>4</w:t>
      </w:r>
      <w:r>
        <w:rPr>
          <w:sz w:val="24"/>
        </w:rPr>
        <w:t>块</w:t>
      </w:r>
      <w:r>
        <w:rPr>
          <w:sz w:val="24"/>
        </w:rPr>
        <w:t>及</w:t>
      </w:r>
      <w:r>
        <w:rPr>
          <w:sz w:val="24"/>
        </w:rPr>
        <w:t>以上，则合同额降低至原合同额的</w:t>
      </w:r>
      <w:r>
        <w:rPr>
          <w:sz w:val="24"/>
        </w:rPr>
        <w:t>90%</w:t>
      </w:r>
      <w:r>
        <w:rPr>
          <w:sz w:val="24"/>
        </w:rPr>
        <w:t>，为人民币</w:t>
      </w:r>
      <w:r>
        <w:rPr>
          <w:sz w:val="24"/>
          <w:u w:val="single"/>
        </w:rPr>
        <w:t xml:space="preserve">      </w:t>
      </w:r>
      <w:r>
        <w:rPr>
          <w:sz w:val="24"/>
          <w:u w:val="single"/>
        </w:rPr>
        <w:t xml:space="preserve"> </w:t>
      </w:r>
      <w:r>
        <w:rPr>
          <w:sz w:val="24"/>
        </w:rPr>
        <w:t xml:space="preserve"> </w:t>
      </w:r>
      <w:r>
        <w:rPr>
          <w:sz w:val="24"/>
          <w:u w:val="single"/>
        </w:rPr>
        <w:t>元整</w:t>
      </w:r>
      <w:r>
        <w:rPr>
          <w:sz w:val="24"/>
        </w:rPr>
        <w:t>（</w:t>
      </w:r>
      <w:r>
        <w:rPr>
          <w:sz w:val="24"/>
        </w:rPr>
        <w:t>RMB</w:t>
      </w:r>
      <w:r>
        <w:rPr>
          <w:sz w:val="24"/>
        </w:rPr>
        <w:t>￥</w:t>
      </w:r>
      <w:r>
        <w:rPr>
          <w:sz w:val="24"/>
          <w:u w:val="single"/>
        </w:rPr>
        <w:t xml:space="preserve">      </w:t>
      </w:r>
      <w:r>
        <w:rPr>
          <w:sz w:val="24"/>
          <w:u w:val="single"/>
        </w:rPr>
        <w:t xml:space="preserve"> </w:t>
      </w:r>
      <w:r>
        <w:rPr>
          <w:sz w:val="24"/>
        </w:rPr>
        <w:t xml:space="preserve"> </w:t>
      </w:r>
      <w:r>
        <w:rPr>
          <w:sz w:val="24"/>
          <w:u w:val="single"/>
        </w:rPr>
        <w:t>0</w:t>
      </w:r>
      <w:r>
        <w:rPr>
          <w:sz w:val="24"/>
        </w:rPr>
        <w:t>元），由甲方支付给</w:t>
      </w:r>
      <w:r>
        <w:rPr>
          <w:sz w:val="24"/>
        </w:rPr>
        <w:t>乙方</w:t>
      </w:r>
      <w:r>
        <w:rPr>
          <w:sz w:val="24"/>
        </w:rPr>
        <w:t>，支付时间和方式如下：</w:t>
      </w:r>
    </w:p>
    <w:p>
      <w:pPr>
        <w:ind w:firstLine="420"/>
        <w:jc w:val="both"/>
      </w:pPr>
      <w:r>
        <w:rPr>
          <w:sz w:val="24"/>
        </w:rPr>
        <w:t>第一次支付，合同签订后</w:t>
      </w:r>
      <w:r>
        <w:rPr>
          <w:sz w:val="24"/>
        </w:rPr>
        <w:t>，</w:t>
      </w:r>
      <w:r>
        <w:rPr>
          <w:sz w:val="24"/>
        </w:rPr>
        <w:t>甲方</w:t>
      </w:r>
      <w:r>
        <w:rPr>
          <w:sz w:val="24"/>
        </w:rPr>
        <w:t>收到</w:t>
      </w:r>
      <w:r>
        <w:rPr>
          <w:sz w:val="24"/>
        </w:rPr>
        <w:t>乙方提供的</w:t>
      </w:r>
      <w:r>
        <w:rPr>
          <w:sz w:val="24"/>
        </w:rPr>
        <w:t>发票后</w:t>
      </w:r>
      <w:r>
        <w:rPr>
          <w:sz w:val="24"/>
        </w:rPr>
        <w:t>5</w:t>
      </w:r>
      <w:r>
        <w:rPr>
          <w:sz w:val="24"/>
        </w:rPr>
        <w:t>个工作日内办理支付手续</w:t>
      </w:r>
      <w:r>
        <w:rPr>
          <w:sz w:val="24"/>
        </w:rPr>
        <w:t>，</w:t>
      </w:r>
      <w:r>
        <w:rPr>
          <w:sz w:val="24"/>
        </w:rPr>
        <w:t>甲方</w:t>
      </w:r>
      <w:r>
        <w:rPr>
          <w:sz w:val="24"/>
        </w:rPr>
        <w:t>按照有关程序向广州市南沙区财政部门申请核拨</w:t>
      </w:r>
      <w:r>
        <w:rPr>
          <w:sz w:val="24"/>
        </w:rPr>
        <w:t>服务费总额的</w:t>
      </w:r>
      <w:r>
        <w:rPr>
          <w:sz w:val="24"/>
        </w:rPr>
        <w:t>11%</w:t>
      </w:r>
      <w:r>
        <w:rPr>
          <w:sz w:val="24"/>
        </w:rPr>
        <w:t>于乙方</w:t>
      </w:r>
      <w:r>
        <w:rPr>
          <w:sz w:val="24"/>
        </w:rPr>
        <w:t>，</w:t>
      </w:r>
      <w:r>
        <w:rPr>
          <w:sz w:val="24"/>
        </w:rPr>
        <w:t>即（大写）</w:t>
      </w:r>
      <w:r>
        <w:rPr>
          <w:sz w:val="24"/>
          <w:u w:val="single"/>
        </w:rPr>
        <w:t>人民币</w:t>
      </w:r>
      <w:r>
        <w:rPr>
          <w:sz w:val="24"/>
          <w:u w:val="single"/>
        </w:rPr>
        <w:t xml:space="preserve">       </w:t>
      </w:r>
      <w:r>
        <w:rPr>
          <w:sz w:val="24"/>
          <w:u w:val="single"/>
        </w:rPr>
        <w:t xml:space="preserve"> </w:t>
      </w:r>
      <w:r>
        <w:rPr>
          <w:sz w:val="24"/>
        </w:rPr>
        <w:t xml:space="preserve">  </w:t>
      </w:r>
      <w:r>
        <w:rPr>
          <w:sz w:val="24"/>
        </w:rPr>
        <w:t>（小写：</w:t>
      </w:r>
      <w:r>
        <w:rPr>
          <w:sz w:val="24"/>
          <w:u w:val="single"/>
        </w:rPr>
        <w:t>￥</w:t>
      </w:r>
      <w:r>
        <w:rPr>
          <w:sz w:val="24"/>
          <w:u w:val="single"/>
        </w:rPr>
        <w:t xml:space="preserve">      </w:t>
      </w:r>
      <w:r>
        <w:rPr>
          <w:sz w:val="24"/>
          <w:u w:val="single"/>
        </w:rPr>
        <w:t xml:space="preserve"> </w:t>
      </w:r>
      <w:r>
        <w:rPr>
          <w:sz w:val="24"/>
        </w:rPr>
        <w:t>）。</w:t>
      </w:r>
    </w:p>
    <w:p>
      <w:pPr>
        <w:ind w:firstLine="420"/>
        <w:jc w:val="both"/>
      </w:pPr>
      <w:r>
        <w:rPr>
          <w:sz w:val="24"/>
        </w:rPr>
        <w:t>第二次支付，即</w:t>
      </w:r>
      <w:r>
        <w:rPr>
          <w:sz w:val="24"/>
        </w:rPr>
        <w:t>20</w:t>
      </w:r>
      <w:r>
        <w:rPr>
          <w:sz w:val="24"/>
        </w:rPr>
        <w:t>23</w:t>
      </w:r>
      <w:r>
        <w:rPr>
          <w:sz w:val="24"/>
        </w:rPr>
        <w:t>年</w:t>
      </w:r>
      <w:r>
        <w:rPr>
          <w:sz w:val="24"/>
        </w:rPr>
        <w:t>6</w:t>
      </w:r>
      <w:r>
        <w:rPr>
          <w:sz w:val="24"/>
        </w:rPr>
        <w:t>月前，乙方提交</w:t>
      </w:r>
      <w:r>
        <w:rPr>
          <w:sz w:val="24"/>
        </w:rPr>
        <w:t>2022</w:t>
      </w:r>
      <w:r>
        <w:rPr>
          <w:sz w:val="24"/>
        </w:rPr>
        <w:t>年度成果后，</w:t>
      </w:r>
      <w:r>
        <w:rPr>
          <w:sz w:val="24"/>
        </w:rPr>
        <w:t>甲方</w:t>
      </w:r>
      <w:r>
        <w:rPr>
          <w:sz w:val="24"/>
        </w:rPr>
        <w:t>按照有关程序向广州市南沙区财政部门申请核拨</w:t>
      </w:r>
      <w:r>
        <w:rPr>
          <w:sz w:val="24"/>
        </w:rPr>
        <w:t>服务费总额的</w:t>
      </w:r>
      <w:r>
        <w:rPr>
          <w:sz w:val="24"/>
        </w:rPr>
        <w:t>30%</w:t>
      </w:r>
      <w:r>
        <w:rPr>
          <w:sz w:val="24"/>
        </w:rPr>
        <w:t>于乙方</w:t>
      </w:r>
      <w:r>
        <w:rPr>
          <w:sz w:val="24"/>
        </w:rPr>
        <w:t>，</w:t>
      </w:r>
      <w:r>
        <w:rPr>
          <w:sz w:val="24"/>
        </w:rPr>
        <w:t>即（大写）</w:t>
      </w:r>
      <w:r>
        <w:rPr>
          <w:sz w:val="24"/>
          <w:u w:val="single"/>
        </w:rPr>
        <w:t>人民币</w:t>
      </w:r>
      <w:r>
        <w:rPr>
          <w:sz w:val="24"/>
          <w:u w:val="single"/>
        </w:rPr>
        <w:t xml:space="preserve">            </w:t>
      </w:r>
      <w:r>
        <w:rPr>
          <w:sz w:val="24"/>
          <w:u w:val="single"/>
        </w:rPr>
        <w:t xml:space="preserve"> </w:t>
      </w:r>
      <w:r>
        <w:rPr>
          <w:sz w:val="24"/>
        </w:rPr>
        <w:t xml:space="preserve"> </w:t>
      </w:r>
      <w:r>
        <w:rPr>
          <w:sz w:val="24"/>
          <w:u w:val="single"/>
        </w:rPr>
        <w:t xml:space="preserve"> </w:t>
      </w:r>
      <w:r>
        <w:rPr>
          <w:sz w:val="24"/>
        </w:rPr>
        <w:t xml:space="preserve">  </w:t>
      </w:r>
      <w:r>
        <w:rPr>
          <w:sz w:val="24"/>
        </w:rPr>
        <w:t>（小写：</w:t>
      </w:r>
      <w:r>
        <w:rPr>
          <w:sz w:val="24"/>
          <w:u w:val="single"/>
        </w:rPr>
        <w:t>￥</w:t>
      </w:r>
      <w:r>
        <w:rPr>
          <w:sz w:val="24"/>
          <w:u w:val="single"/>
        </w:rPr>
        <w:t xml:space="preserve">      </w:t>
      </w:r>
      <w:r>
        <w:rPr>
          <w:sz w:val="24"/>
          <w:u w:val="single"/>
        </w:rPr>
        <w:t xml:space="preserve"> </w:t>
      </w:r>
      <w:r>
        <w:rPr>
          <w:sz w:val="24"/>
        </w:rPr>
        <w:t xml:space="preserve"> </w:t>
      </w:r>
      <w:r>
        <w:rPr>
          <w:sz w:val="24"/>
          <w:u w:val="single"/>
        </w:rPr>
        <w:t xml:space="preserve"> </w:t>
      </w:r>
      <w:r>
        <w:rPr>
          <w:sz w:val="24"/>
        </w:rPr>
        <w:t>）。</w:t>
      </w:r>
    </w:p>
    <w:p>
      <w:pPr>
        <w:ind w:firstLine="420"/>
        <w:jc w:val="both"/>
      </w:pPr>
      <w:r>
        <w:rPr>
          <w:sz w:val="24"/>
        </w:rPr>
        <w:t>第三次支付，即</w:t>
      </w:r>
      <w:r>
        <w:rPr>
          <w:sz w:val="24"/>
        </w:rPr>
        <w:t>20</w:t>
      </w:r>
      <w:r>
        <w:rPr>
          <w:sz w:val="24"/>
        </w:rPr>
        <w:t>24</w:t>
      </w:r>
      <w:r>
        <w:rPr>
          <w:sz w:val="24"/>
        </w:rPr>
        <w:t>年</w:t>
      </w:r>
      <w:r>
        <w:rPr>
          <w:sz w:val="24"/>
        </w:rPr>
        <w:t>6</w:t>
      </w:r>
      <w:r>
        <w:rPr>
          <w:sz w:val="24"/>
        </w:rPr>
        <w:t>月前，乙方提交</w:t>
      </w:r>
      <w:r>
        <w:rPr>
          <w:sz w:val="24"/>
        </w:rPr>
        <w:t>202</w:t>
      </w:r>
      <w:r>
        <w:rPr>
          <w:sz w:val="24"/>
        </w:rPr>
        <w:t>3</w:t>
      </w:r>
      <w:r>
        <w:rPr>
          <w:sz w:val="24"/>
        </w:rPr>
        <w:t>年度成果后</w:t>
      </w:r>
      <w:r>
        <w:rPr>
          <w:sz w:val="24"/>
        </w:rPr>
        <w:t>，甲方</w:t>
      </w:r>
      <w:r>
        <w:rPr>
          <w:sz w:val="24"/>
        </w:rPr>
        <w:t>按照有关程序向广州市南沙区财政部门申请核拨</w:t>
      </w:r>
      <w:r>
        <w:rPr>
          <w:sz w:val="24"/>
        </w:rPr>
        <w:t>服务费总额的</w:t>
      </w:r>
      <w:r>
        <w:rPr>
          <w:sz w:val="24"/>
        </w:rPr>
        <w:t>30%</w:t>
      </w:r>
      <w:r>
        <w:rPr>
          <w:sz w:val="24"/>
        </w:rPr>
        <w:t>于乙方</w:t>
      </w:r>
      <w:r>
        <w:rPr>
          <w:sz w:val="24"/>
        </w:rPr>
        <w:t>，</w:t>
      </w:r>
      <w:r>
        <w:rPr>
          <w:sz w:val="24"/>
        </w:rPr>
        <w:t>即（大写）</w:t>
      </w:r>
      <w:r>
        <w:rPr>
          <w:sz w:val="24"/>
          <w:u w:val="single"/>
        </w:rPr>
        <w:t>人民币</w:t>
      </w:r>
      <w:r>
        <w:rPr>
          <w:sz w:val="24"/>
          <w:u w:val="single"/>
        </w:rPr>
        <w:t xml:space="preserve">      </w:t>
      </w:r>
      <w:r>
        <w:rPr>
          <w:sz w:val="24"/>
          <w:u w:val="single"/>
        </w:rPr>
        <w:t xml:space="preserve"> </w:t>
      </w:r>
      <w:r>
        <w:rPr>
          <w:sz w:val="24"/>
        </w:rPr>
        <w:t xml:space="preserve">   </w:t>
      </w:r>
      <w:r>
        <w:rPr>
          <w:sz w:val="24"/>
        </w:rPr>
        <w:t>（小写：</w:t>
      </w:r>
      <w:r>
        <w:rPr>
          <w:sz w:val="24"/>
          <w:u w:val="single"/>
        </w:rPr>
        <w:t>￥</w:t>
      </w:r>
      <w:r>
        <w:rPr>
          <w:sz w:val="24"/>
          <w:u w:val="single"/>
        </w:rPr>
        <w:t xml:space="preserve">      </w:t>
      </w:r>
      <w:r>
        <w:rPr>
          <w:sz w:val="24"/>
          <w:u w:val="single"/>
        </w:rPr>
        <w:t xml:space="preserve"> </w:t>
      </w:r>
      <w:r>
        <w:rPr>
          <w:sz w:val="24"/>
        </w:rPr>
        <w:t xml:space="preserve"> </w:t>
      </w:r>
      <w:r>
        <w:rPr>
          <w:sz w:val="24"/>
          <w:u w:val="single"/>
        </w:rPr>
        <w:t xml:space="preserve"> </w:t>
      </w:r>
      <w:r>
        <w:rPr>
          <w:sz w:val="24"/>
        </w:rPr>
        <w:t>）。</w:t>
      </w:r>
    </w:p>
    <w:p>
      <w:pPr>
        <w:ind w:firstLine="420"/>
        <w:jc w:val="both"/>
      </w:pPr>
      <w:r>
        <w:rPr>
          <w:sz w:val="24"/>
        </w:rPr>
        <w:t>第四次支付，即</w:t>
      </w:r>
      <w:r>
        <w:rPr>
          <w:sz w:val="24"/>
        </w:rPr>
        <w:t>20</w:t>
      </w:r>
      <w:r>
        <w:rPr>
          <w:sz w:val="24"/>
        </w:rPr>
        <w:t>25</w:t>
      </w:r>
      <w:r>
        <w:rPr>
          <w:sz w:val="24"/>
        </w:rPr>
        <w:t>年</w:t>
      </w:r>
      <w:r>
        <w:rPr>
          <w:sz w:val="24"/>
        </w:rPr>
        <w:t>6</w:t>
      </w:r>
      <w:r>
        <w:rPr>
          <w:sz w:val="24"/>
        </w:rPr>
        <w:t>月前，乙方提交</w:t>
      </w:r>
      <w:r>
        <w:rPr>
          <w:sz w:val="24"/>
        </w:rPr>
        <w:t>202</w:t>
      </w:r>
      <w:r>
        <w:rPr>
          <w:sz w:val="24"/>
        </w:rPr>
        <w:t>4</w:t>
      </w:r>
      <w:r>
        <w:rPr>
          <w:sz w:val="24"/>
        </w:rPr>
        <w:t>年度成果后，</w:t>
      </w:r>
      <w:r>
        <w:rPr>
          <w:sz w:val="24"/>
        </w:rPr>
        <w:t>甲方</w:t>
      </w:r>
      <w:r>
        <w:rPr>
          <w:sz w:val="24"/>
        </w:rPr>
        <w:t>按照有关程序向广州市南沙区财政部门申请核拨</w:t>
      </w:r>
      <w:r>
        <w:rPr>
          <w:sz w:val="24"/>
        </w:rPr>
        <w:t>服务费总额的</w:t>
      </w:r>
      <w:r>
        <w:rPr>
          <w:sz w:val="24"/>
        </w:rPr>
        <w:t>29%</w:t>
      </w:r>
      <w:r>
        <w:rPr>
          <w:sz w:val="24"/>
        </w:rPr>
        <w:t>于乙方</w:t>
      </w:r>
      <w:r>
        <w:rPr>
          <w:sz w:val="24"/>
        </w:rPr>
        <w:t>，</w:t>
      </w:r>
      <w:r>
        <w:rPr>
          <w:sz w:val="24"/>
        </w:rPr>
        <w:t>即（大写）</w:t>
      </w:r>
      <w:r>
        <w:rPr>
          <w:sz w:val="24"/>
          <w:u w:val="single"/>
        </w:rPr>
        <w:t>人民币</w:t>
      </w:r>
      <w:r>
        <w:rPr>
          <w:sz w:val="24"/>
          <w:u w:val="single"/>
        </w:rPr>
        <w:t xml:space="preserve">      </w:t>
      </w:r>
      <w:r>
        <w:rPr>
          <w:sz w:val="24"/>
          <w:u w:val="single"/>
        </w:rPr>
        <w:t xml:space="preserve"> </w:t>
      </w:r>
      <w:r>
        <w:rPr>
          <w:sz w:val="24"/>
        </w:rPr>
        <w:t xml:space="preserve"> </w:t>
      </w:r>
      <w:r>
        <w:rPr>
          <w:sz w:val="24"/>
          <w:u w:val="single"/>
        </w:rPr>
        <w:t xml:space="preserve"> </w:t>
      </w:r>
      <w:r>
        <w:rPr>
          <w:sz w:val="24"/>
        </w:rPr>
        <w:t xml:space="preserve">  </w:t>
      </w:r>
      <w:r>
        <w:rPr>
          <w:sz w:val="24"/>
        </w:rPr>
        <w:t>（小写：</w:t>
      </w:r>
      <w:r>
        <w:rPr>
          <w:sz w:val="24"/>
          <w:u w:val="single"/>
        </w:rPr>
        <w:t>￥</w:t>
      </w:r>
      <w:r>
        <w:rPr>
          <w:sz w:val="24"/>
          <w:u w:val="single"/>
        </w:rPr>
        <w:t xml:space="preserve">      </w:t>
      </w:r>
      <w:r>
        <w:rPr>
          <w:sz w:val="24"/>
          <w:u w:val="single"/>
        </w:rPr>
        <w:t xml:space="preserve"> </w:t>
      </w:r>
      <w:r>
        <w:rPr>
          <w:sz w:val="24"/>
        </w:rPr>
        <w:t xml:space="preserve"> </w:t>
      </w:r>
      <w:r>
        <w:rPr>
          <w:sz w:val="24"/>
          <w:u w:val="single"/>
        </w:rPr>
        <w:t xml:space="preserve"> </w:t>
      </w:r>
      <w:r>
        <w:rPr>
          <w:sz w:val="24"/>
        </w:rPr>
        <w:t>）。若剩余未出让地块数量</w:t>
      </w:r>
      <w:r>
        <w:rPr>
          <w:sz w:val="24"/>
        </w:rPr>
        <w:t>4</w:t>
      </w:r>
      <w:r>
        <w:rPr>
          <w:sz w:val="24"/>
        </w:rPr>
        <w:t>块</w:t>
      </w:r>
      <w:r>
        <w:rPr>
          <w:sz w:val="24"/>
        </w:rPr>
        <w:t>及</w:t>
      </w:r>
      <w:r>
        <w:rPr>
          <w:sz w:val="24"/>
        </w:rPr>
        <w:t>以上，</w:t>
      </w:r>
      <w:r>
        <w:rPr>
          <w:sz w:val="24"/>
        </w:rPr>
        <w:t>则合同额降低至原合同额的</w:t>
      </w:r>
      <w:r>
        <w:rPr>
          <w:sz w:val="24"/>
        </w:rPr>
        <w:t>90%</w:t>
      </w:r>
      <w:r>
        <w:rPr>
          <w:sz w:val="24"/>
        </w:rPr>
        <w:t>，</w:t>
      </w:r>
      <w:r>
        <w:rPr>
          <w:sz w:val="24"/>
        </w:rPr>
        <w:t>甲方</w:t>
      </w:r>
      <w:r>
        <w:rPr>
          <w:sz w:val="24"/>
        </w:rPr>
        <w:t>按照有关程序向广州市南沙区财政部门申请核拨</w:t>
      </w:r>
      <w:r>
        <w:rPr>
          <w:sz w:val="24"/>
        </w:rPr>
        <w:t>服务费总额的</w:t>
      </w:r>
      <w:r>
        <w:rPr>
          <w:sz w:val="24"/>
        </w:rPr>
        <w:t>1</w:t>
      </w:r>
      <w:r>
        <w:rPr>
          <w:sz w:val="24"/>
        </w:rPr>
        <w:t>9%</w:t>
      </w:r>
      <w:r>
        <w:rPr>
          <w:sz w:val="24"/>
        </w:rPr>
        <w:t>于乙方</w:t>
      </w:r>
      <w:r>
        <w:rPr>
          <w:sz w:val="24"/>
        </w:rPr>
        <w:t>，</w:t>
      </w:r>
      <w:r>
        <w:rPr>
          <w:sz w:val="24"/>
        </w:rPr>
        <w:t>即（大写）人民币</w:t>
      </w:r>
      <w:r>
        <w:rPr>
          <w:sz w:val="24"/>
          <w:u w:val="single"/>
        </w:rPr>
        <w:t xml:space="preserve">  </w:t>
      </w:r>
      <w:r>
        <w:rPr>
          <w:sz w:val="24"/>
          <w:u w:val="single"/>
        </w:rPr>
        <w:t xml:space="preserve">      </w:t>
      </w:r>
      <w:r>
        <w:rPr>
          <w:sz w:val="24"/>
          <w:u w:val="single"/>
        </w:rPr>
        <w:t xml:space="preserve"> </w:t>
      </w:r>
      <w:r>
        <w:rPr>
          <w:sz w:val="24"/>
        </w:rPr>
        <w:t xml:space="preserve"> </w:t>
      </w:r>
      <w:r>
        <w:rPr>
          <w:sz w:val="24"/>
          <w:u w:val="single"/>
        </w:rPr>
        <w:t xml:space="preserve"> </w:t>
      </w:r>
      <w:r>
        <w:rPr>
          <w:sz w:val="24"/>
        </w:rPr>
        <w:t>（小写：</w:t>
      </w:r>
      <w:r>
        <w:rPr>
          <w:sz w:val="24"/>
          <w:u w:val="single"/>
        </w:rPr>
        <w:t>￥</w:t>
      </w:r>
      <w:r>
        <w:rPr>
          <w:sz w:val="24"/>
          <w:u w:val="single"/>
        </w:rPr>
        <w:t xml:space="preserve">      </w:t>
      </w:r>
      <w:r>
        <w:rPr>
          <w:sz w:val="24"/>
          <w:u w:val="single"/>
        </w:rPr>
        <w:t xml:space="preserve"> </w:t>
      </w:r>
      <w:r>
        <w:rPr>
          <w:sz w:val="24"/>
        </w:rPr>
        <w:t xml:space="preserve"> </w:t>
      </w:r>
      <w:r>
        <w:rPr>
          <w:sz w:val="24"/>
          <w:u w:val="single"/>
        </w:rPr>
        <w:t xml:space="preserve"> </w:t>
      </w:r>
      <w:r>
        <w:rPr>
          <w:sz w:val="24"/>
        </w:rPr>
        <w:t>）。</w:t>
      </w:r>
    </w:p>
    <w:p>
      <w:pPr>
        <w:ind w:firstLine="420"/>
        <w:jc w:val="both"/>
      </w:pPr>
      <w:r>
        <w:drawing>
          <wp:inline distT="0" distR="0" distB="0" distL="0">
            <wp:extent cx="5114925" cy="345757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114925" cy="3457575"/>
                    </a:xfrm>
                    <a:prstGeom prst="rect">
                      <a:avLst/>
                    </a:prstGeom>
                  </pic:spPr>
                </pic:pic>
              </a:graphicData>
            </a:graphic>
          </wp:inline>
        </w:drawing>
      </w:r>
    </w:p>
    <w:p>
      <w:pPr>
        <w:ind w:firstLine="420"/>
        <w:jc w:val="both"/>
      </w:pPr>
      <w:r>
        <w:rPr>
          <w:sz w:val="20"/>
        </w:rPr>
        <w:t>附图：红色填充为待出让用地</w:t>
      </w:r>
    </w:p>
    <w:p>
      <w:pPr>
        <w:ind w:firstLine="420"/>
        <w:jc w:val="both"/>
      </w:pPr>
      <w:r>
        <w:rPr>
          <w:sz w:val="24"/>
        </w:rPr>
        <w:t>3</w:t>
      </w:r>
      <w:r>
        <w:rPr>
          <w:sz w:val="24"/>
        </w:rPr>
        <w:t>.</w:t>
      </w:r>
      <w:r>
        <w:rPr>
          <w:sz w:val="24"/>
        </w:rPr>
        <w:t>甲方付款前，乙方须提供等额合法有效发票和支付申请，因乙方未及时提供发票等原因致使甲方逾期付款的，责任由乙方承担；乙方未提供发票和支付申请给甲方的，甲方可以顺延付款日期。</w:t>
      </w:r>
    </w:p>
    <w:p>
      <w:pPr>
        <w:ind w:firstLine="420"/>
        <w:jc w:val="both"/>
      </w:pPr>
      <w:r>
        <w:rPr>
          <w:sz w:val="24"/>
        </w:rPr>
        <w:t>4</w:t>
      </w:r>
      <w:r>
        <w:rPr>
          <w:sz w:val="24"/>
        </w:rPr>
        <w:t>.</w:t>
      </w:r>
      <w:r>
        <w:rPr>
          <w:sz w:val="24"/>
        </w:rPr>
        <w:t>每次支付进度与额度以区财政局批复为准。</w:t>
      </w:r>
    </w:p>
    <w:p>
      <w:pPr>
        <w:ind w:firstLine="420"/>
        <w:jc w:val="both"/>
      </w:pPr>
      <w:r>
        <w:rPr>
          <w:sz w:val="24"/>
        </w:rPr>
        <w:t>4.1</w:t>
      </w:r>
      <w:r>
        <w:rPr>
          <w:sz w:val="24"/>
        </w:rPr>
        <w:t>甲方付款时间为向政府财政部门提出办理财政支付申请手续的时间（不含政府财政部门审核时间），甲方在约定时间提出支付申请手续视为按期支付。</w:t>
      </w:r>
    </w:p>
    <w:p>
      <w:pPr>
        <w:ind w:firstLine="420"/>
        <w:jc w:val="both"/>
      </w:pPr>
      <w:r>
        <w:rPr>
          <w:sz w:val="24"/>
        </w:rPr>
        <w:t>4.2</w:t>
      </w:r>
      <w:r>
        <w:rPr>
          <w:sz w:val="24"/>
        </w:rPr>
        <w:t>合同生效后，因政府财政部门未批复财政预算或批复财政预算不足，致使逾期支付，不视为甲方违约；甲方可顺延至政府财政部门预算批复通过后支付。</w:t>
      </w:r>
    </w:p>
    <w:p>
      <w:pPr>
        <w:ind w:firstLine="420"/>
        <w:jc w:val="both"/>
      </w:pPr>
      <w:r>
        <w:rPr>
          <w:sz w:val="24"/>
        </w:rPr>
        <w:t>5</w:t>
      </w:r>
      <w:r>
        <w:rPr>
          <w:sz w:val="24"/>
        </w:rPr>
        <w:t>.</w:t>
      </w:r>
      <w:r>
        <w:rPr>
          <w:sz w:val="24"/>
        </w:rPr>
        <w:t>甲方通过公对公银行转账的方式向乙方提供的如下唯一收款账号支付服务报酬。如乙方收款账号发生变化的，应当提前</w:t>
      </w:r>
      <w:r>
        <w:rPr>
          <w:sz w:val="24"/>
        </w:rPr>
        <w:t>7个工作日书面通知甲方，否则由此造成的损失由乙方自行承担。</w:t>
      </w:r>
    </w:p>
    <w:p>
      <w:pPr>
        <w:ind w:firstLine="420"/>
        <w:jc w:val="both"/>
      </w:pPr>
      <w:r>
        <w:rPr>
          <w:sz w:val="24"/>
        </w:rPr>
        <w:t>乙方开户银行名称、地址和账号为：</w:t>
      </w:r>
    </w:p>
    <w:p>
      <w:pPr>
        <w:jc w:val="both"/>
      </w:pPr>
      <w:r>
        <w:rPr>
          <w:sz w:val="24"/>
        </w:rPr>
        <w:t xml:space="preserve">          </w:t>
      </w:r>
      <w:r>
        <w:rPr>
          <w:sz w:val="24"/>
        </w:rPr>
        <w:t>户</w:t>
      </w:r>
      <w:r>
        <w:rPr>
          <w:sz w:val="24"/>
        </w:rPr>
        <w:t xml:space="preserve">   </w:t>
      </w:r>
      <w:r>
        <w:rPr>
          <w:sz w:val="24"/>
        </w:rPr>
        <w:t>名：</w:t>
      </w:r>
      <w:r>
        <w:rPr>
          <w:sz w:val="24"/>
        </w:rPr>
        <w:t xml:space="preserve">     </w:t>
      </w:r>
    </w:p>
    <w:p>
      <w:pPr>
        <w:jc w:val="both"/>
      </w:pPr>
      <w:r>
        <w:rPr>
          <w:sz w:val="24"/>
        </w:rPr>
        <w:t xml:space="preserve">          </w:t>
      </w:r>
      <w:r>
        <w:rPr>
          <w:sz w:val="24"/>
        </w:rPr>
        <w:t>开户银行：</w:t>
      </w:r>
    </w:p>
    <w:p>
      <w:pPr>
        <w:jc w:val="both"/>
      </w:pPr>
      <w:r>
        <w:rPr>
          <w:sz w:val="24"/>
        </w:rPr>
        <w:t xml:space="preserve">          </w:t>
      </w:r>
      <w:r>
        <w:rPr>
          <w:sz w:val="24"/>
        </w:rPr>
        <w:t>地</w:t>
      </w:r>
      <w:r>
        <w:rPr>
          <w:sz w:val="24"/>
        </w:rPr>
        <w:t xml:space="preserve">   </w:t>
      </w:r>
      <w:r>
        <w:rPr>
          <w:sz w:val="24"/>
        </w:rPr>
        <w:t>址：</w:t>
      </w:r>
    </w:p>
    <w:p>
      <w:pPr>
        <w:jc w:val="both"/>
      </w:pPr>
      <w:r>
        <w:rPr>
          <w:sz w:val="24"/>
        </w:rPr>
        <w:t xml:space="preserve">          </w:t>
      </w:r>
      <w:r>
        <w:rPr>
          <w:sz w:val="24"/>
        </w:rPr>
        <w:t>帐</w:t>
      </w:r>
      <w:r>
        <w:rPr>
          <w:sz w:val="24"/>
        </w:rPr>
        <w:t xml:space="preserve">   </w:t>
      </w:r>
      <w:r>
        <w:rPr>
          <w:sz w:val="24"/>
        </w:rPr>
        <w:t>号：</w:t>
      </w:r>
    </w:p>
    <w:p>
      <w:pPr>
        <w:jc w:val="both"/>
      </w:pPr>
      <w:r>
        <w:rPr>
          <w:sz w:val="24"/>
        </w:rPr>
        <w:t xml:space="preserve">  </w:t>
      </w:r>
      <w:r>
        <w:rPr>
          <w:b/>
          <w:sz w:val="24"/>
        </w:rPr>
        <w:t xml:space="preserve">  </w:t>
      </w:r>
      <w:r>
        <w:rPr>
          <w:b/>
          <w:sz w:val="24"/>
        </w:rPr>
        <w:t>第五条</w:t>
      </w:r>
      <w:r>
        <w:rPr>
          <w:b/>
          <w:sz w:val="24"/>
        </w:rPr>
        <w:t>双方确定因履行本合同应遵守的保密义务如下：</w:t>
      </w:r>
    </w:p>
    <w:p>
      <w:pPr>
        <w:ind w:firstLine="420"/>
        <w:jc w:val="both"/>
      </w:pPr>
      <w:r>
        <w:rPr>
          <w:sz w:val="24"/>
        </w:rPr>
        <w:t>甲方：</w:t>
      </w:r>
    </w:p>
    <w:p>
      <w:pPr>
        <w:ind w:firstLine="420"/>
        <w:jc w:val="both"/>
      </w:pPr>
      <w:r>
        <w:rPr>
          <w:sz w:val="24"/>
        </w:rPr>
        <w:t>1</w:t>
      </w:r>
      <w:r>
        <w:rPr>
          <w:sz w:val="24"/>
        </w:rPr>
        <w:t>．保密内容（包括技术信息和经营信息）</w:t>
      </w:r>
      <w:r>
        <w:rPr>
          <w:sz w:val="24"/>
          <w:u w:val="single"/>
        </w:rPr>
        <w:t>成果未经评审不得公开。</w:t>
      </w:r>
    </w:p>
    <w:p>
      <w:pPr>
        <w:ind w:firstLine="420"/>
        <w:jc w:val="both"/>
      </w:pPr>
      <w:r>
        <w:rPr>
          <w:sz w:val="24"/>
        </w:rPr>
        <w:t>2</w:t>
      </w:r>
      <w:r>
        <w:rPr>
          <w:sz w:val="24"/>
        </w:rPr>
        <w:t>．涉密人员范围：</w:t>
      </w:r>
      <w:r>
        <w:rPr>
          <w:sz w:val="24"/>
          <w:u w:val="single"/>
        </w:rPr>
        <w:t>全体相关工作人员</w:t>
      </w:r>
      <w:r>
        <w:rPr>
          <w:sz w:val="24"/>
        </w:rPr>
        <w:t>。</w:t>
      </w:r>
    </w:p>
    <w:p>
      <w:pPr>
        <w:ind w:firstLine="420"/>
        <w:jc w:val="both"/>
      </w:pPr>
      <w:r>
        <w:rPr>
          <w:sz w:val="24"/>
        </w:rPr>
        <w:t>3</w:t>
      </w:r>
      <w:r>
        <w:rPr>
          <w:sz w:val="24"/>
        </w:rPr>
        <w:t>．保密期限：</w:t>
      </w:r>
      <w:r>
        <w:rPr>
          <w:sz w:val="24"/>
          <w:u w:val="single"/>
        </w:rPr>
        <w:t>研究报告正式审批公布之日</w:t>
      </w:r>
      <w:r>
        <w:rPr>
          <w:sz w:val="24"/>
        </w:rPr>
        <w:t>。</w:t>
      </w:r>
    </w:p>
    <w:p>
      <w:pPr>
        <w:ind w:firstLine="420"/>
        <w:jc w:val="both"/>
      </w:pPr>
      <w:r>
        <w:rPr>
          <w:sz w:val="24"/>
        </w:rPr>
        <w:t>4</w:t>
      </w:r>
      <w:r>
        <w:rPr>
          <w:sz w:val="24"/>
        </w:rPr>
        <w:t>．泄密责任：</w:t>
      </w:r>
      <w:r>
        <w:rPr>
          <w:sz w:val="24"/>
          <w:u w:val="single"/>
        </w:rPr>
        <w:t>由此造成的一切责任</w:t>
      </w:r>
      <w:r>
        <w:rPr>
          <w:sz w:val="24"/>
        </w:rPr>
        <w:t>。</w:t>
      </w:r>
    </w:p>
    <w:p>
      <w:pPr>
        <w:ind w:firstLine="420"/>
        <w:jc w:val="both"/>
      </w:pPr>
      <w:r>
        <w:rPr>
          <w:sz w:val="24"/>
        </w:rPr>
        <w:t>乙方：</w:t>
      </w:r>
    </w:p>
    <w:p>
      <w:pPr>
        <w:ind w:firstLine="420"/>
        <w:jc w:val="both"/>
      </w:pPr>
      <w:r>
        <w:rPr>
          <w:sz w:val="24"/>
        </w:rPr>
        <w:t>1</w:t>
      </w:r>
      <w:r>
        <w:rPr>
          <w:sz w:val="24"/>
        </w:rPr>
        <w:t>．保密内容（包括技术信息和经营信息）</w:t>
      </w:r>
      <w:r>
        <w:rPr>
          <w:sz w:val="24"/>
          <w:u w:val="single"/>
        </w:rPr>
        <w:t>甲方提供的资料未经甲方允许不得公开，成果未经评审不得公开。</w:t>
      </w:r>
    </w:p>
    <w:p>
      <w:pPr>
        <w:ind w:firstLine="420"/>
        <w:jc w:val="both"/>
      </w:pPr>
      <w:r>
        <w:rPr>
          <w:sz w:val="24"/>
        </w:rPr>
        <w:t>2</w:t>
      </w:r>
      <w:r>
        <w:rPr>
          <w:sz w:val="24"/>
        </w:rPr>
        <w:t>．涉密人员范围：</w:t>
      </w:r>
      <w:r>
        <w:rPr>
          <w:sz w:val="24"/>
          <w:u w:val="single"/>
        </w:rPr>
        <w:t>全体相关工作人员（详见附件</w:t>
      </w:r>
      <w:r>
        <w:rPr>
          <w:sz w:val="24"/>
          <w:u w:val="single"/>
        </w:rPr>
        <w:t>1</w:t>
      </w:r>
      <w:r>
        <w:rPr>
          <w:sz w:val="24"/>
          <w:u w:val="single"/>
        </w:rPr>
        <w:t>）</w:t>
      </w:r>
      <w:r>
        <w:rPr>
          <w:sz w:val="24"/>
        </w:rPr>
        <w:t>。</w:t>
      </w:r>
    </w:p>
    <w:p>
      <w:pPr>
        <w:ind w:firstLine="420"/>
        <w:jc w:val="both"/>
      </w:pPr>
      <w:r>
        <w:rPr>
          <w:sz w:val="24"/>
        </w:rPr>
        <w:t>3</w:t>
      </w:r>
      <w:r>
        <w:rPr>
          <w:sz w:val="24"/>
        </w:rPr>
        <w:t>．保密期限：</w:t>
      </w:r>
      <w:r>
        <w:rPr>
          <w:sz w:val="24"/>
          <w:u w:val="single"/>
        </w:rPr>
        <w:t>甲方提供资料未经甲方允许不得公开，研究报告保密期限为正式审批公布之日</w:t>
      </w:r>
      <w:r>
        <w:rPr>
          <w:sz w:val="24"/>
        </w:rPr>
        <w:t>。</w:t>
      </w:r>
    </w:p>
    <w:p>
      <w:pPr>
        <w:ind w:firstLine="420"/>
        <w:jc w:val="both"/>
      </w:pPr>
      <w:r>
        <w:rPr>
          <w:sz w:val="24"/>
        </w:rPr>
        <w:t>4.</w:t>
      </w:r>
      <w:r>
        <w:rPr>
          <w:sz w:val="24"/>
        </w:rPr>
        <w:t>泄密责任：</w:t>
      </w:r>
      <w:r>
        <w:rPr>
          <w:sz w:val="24"/>
          <w:u w:val="single"/>
        </w:rPr>
        <w:t>由此造成的一切责任。</w:t>
      </w:r>
    </w:p>
    <w:p>
      <w:pPr>
        <w:jc w:val="both"/>
      </w:pPr>
      <w:r>
        <w:rPr>
          <w:b/>
          <w:sz w:val="24"/>
        </w:rPr>
        <w:t>第六条</w:t>
      </w:r>
      <w:r>
        <w:rPr>
          <w:b/>
          <w:sz w:val="24"/>
        </w:rPr>
        <w:t>本合同的变更必须由双方协商一致，并以书面形式确定。</w:t>
      </w:r>
    </w:p>
    <w:p>
      <w:pPr>
        <w:ind w:firstLine="420"/>
        <w:jc w:val="both"/>
      </w:pPr>
      <w:r>
        <w:rPr>
          <w:sz w:val="24"/>
        </w:rPr>
        <w:t>但有下列情形之一的，一方可以向另一方提出变更合同权利与义务的请求，另一方应当在</w:t>
      </w:r>
      <w:r>
        <w:rPr>
          <w:sz w:val="24"/>
          <w:u w:val="single"/>
        </w:rPr>
        <w:t xml:space="preserve">   </w:t>
      </w:r>
      <w:r>
        <w:rPr>
          <w:sz w:val="24"/>
          <w:u w:val="single"/>
        </w:rPr>
        <w:t>十五</w:t>
      </w:r>
      <w:r>
        <w:rPr>
          <w:sz w:val="24"/>
          <w:u w:val="single"/>
        </w:rPr>
        <w:t xml:space="preserve"> </w:t>
      </w:r>
      <w:r>
        <w:rPr>
          <w:sz w:val="24"/>
        </w:rPr>
        <w:t>日内予以答复；逾期未予答复的，视为同意：</w:t>
      </w:r>
    </w:p>
    <w:p>
      <w:pPr>
        <w:ind w:firstLine="420"/>
        <w:jc w:val="both"/>
      </w:pPr>
      <w:r>
        <w:rPr>
          <w:sz w:val="24"/>
        </w:rPr>
        <w:t>1</w:t>
      </w:r>
      <w:r>
        <w:rPr>
          <w:sz w:val="24"/>
        </w:rPr>
        <w:t>．</w:t>
      </w:r>
      <w:r>
        <w:rPr>
          <w:sz w:val="24"/>
          <w:u w:val="single"/>
        </w:rPr>
        <w:t xml:space="preserve">         </w:t>
      </w:r>
      <w:r>
        <w:rPr>
          <w:sz w:val="24"/>
          <w:u w:val="single"/>
        </w:rPr>
        <w:t>无</w:t>
      </w:r>
      <w:r>
        <w:rPr>
          <w:sz w:val="24"/>
          <w:u w:val="single"/>
        </w:rPr>
        <w:t xml:space="preserve">        </w:t>
      </w:r>
      <w:r>
        <w:rPr>
          <w:sz w:val="24"/>
        </w:rPr>
        <w:t>。</w:t>
      </w:r>
    </w:p>
    <w:p>
      <w:pPr>
        <w:jc w:val="both"/>
      </w:pPr>
      <w:r>
        <w:rPr>
          <w:b/>
          <w:sz w:val="24"/>
        </w:rPr>
        <w:t>第七条</w:t>
      </w:r>
      <w:r>
        <w:rPr>
          <w:b/>
          <w:sz w:val="24"/>
        </w:rPr>
        <w:t>双方确定以下列标准和方式对乙方的技术服务工作成果进行验收：</w:t>
      </w:r>
    </w:p>
    <w:p>
      <w:pPr>
        <w:ind w:firstLine="420"/>
        <w:jc w:val="both"/>
      </w:pPr>
      <w:r>
        <w:rPr>
          <w:sz w:val="24"/>
        </w:rPr>
        <w:t>1</w:t>
      </w:r>
      <w:r>
        <w:rPr>
          <w:sz w:val="24"/>
        </w:rPr>
        <w:t>．乙方完成技术服务工作的形式：</w:t>
      </w:r>
      <w:r>
        <w:rPr>
          <w:sz w:val="24"/>
          <w:u w:val="single"/>
        </w:rPr>
        <w:t>按项目报审提交《明珠湾起步区高水平国际城市风貌管控技术</w:t>
      </w:r>
      <w:r>
        <w:rPr>
          <w:sz w:val="24"/>
          <w:u w:val="single"/>
        </w:rPr>
        <w:t>——总师咨询意见服务》纸质文件及电子版并在服务期限内提供技术支持。</w:t>
      </w:r>
    </w:p>
    <w:p>
      <w:pPr>
        <w:ind w:firstLine="420"/>
        <w:jc w:val="both"/>
      </w:pPr>
      <w:r>
        <w:rPr>
          <w:sz w:val="24"/>
        </w:rPr>
        <w:t>2</w:t>
      </w:r>
      <w:r>
        <w:rPr>
          <w:sz w:val="24"/>
        </w:rPr>
        <w:t>、</w:t>
      </w:r>
      <w:r>
        <w:rPr>
          <w:sz w:val="24"/>
          <w:u w:val="single"/>
        </w:rPr>
        <w:t>乙方项目组成员（见合同附件）在项目研究成果验收完成前，未经甲方同意不得调整，否则甲方有权终止合同，由此造成的损失须由乙方承担。</w:t>
      </w:r>
    </w:p>
    <w:p>
      <w:pPr>
        <w:ind w:firstLine="420"/>
        <w:jc w:val="both"/>
      </w:pPr>
    </w:p>
    <w:p>
      <w:pPr>
        <w:jc w:val="both"/>
      </w:pPr>
      <w:r>
        <w:rPr>
          <w:b/>
          <w:sz w:val="24"/>
        </w:rPr>
        <w:t>第八条</w:t>
      </w:r>
      <w:r>
        <w:rPr>
          <w:b/>
          <w:sz w:val="24"/>
        </w:rPr>
        <w:t>双方确定：</w:t>
      </w:r>
    </w:p>
    <w:p>
      <w:pPr>
        <w:ind w:firstLine="420"/>
        <w:jc w:val="both"/>
      </w:pPr>
      <w:r>
        <w:rPr>
          <w:sz w:val="24"/>
        </w:rPr>
        <w:t>1.</w:t>
      </w:r>
      <w:r>
        <w:rPr>
          <w:sz w:val="24"/>
        </w:rPr>
        <w:t>本合同有效期为本合同自签字并加盖公章之日起至乙方完成所有服务内容，且各方的责任、义务履行完毕时终止。</w:t>
      </w:r>
    </w:p>
    <w:p>
      <w:pPr>
        <w:ind w:firstLine="420"/>
        <w:jc w:val="both"/>
      </w:pPr>
      <w:r>
        <w:rPr>
          <w:sz w:val="24"/>
        </w:rPr>
        <w:t>2.</w:t>
      </w:r>
      <w:r>
        <w:rPr>
          <w:sz w:val="24"/>
        </w:rPr>
        <w:t>在本合同有效期内，甲方利用乙方提交的技术服务工作成果完成的新的技术成果，归甲方所有。</w:t>
      </w:r>
    </w:p>
    <w:p>
      <w:pPr>
        <w:ind w:firstLine="420"/>
        <w:jc w:val="both"/>
      </w:pPr>
      <w:r>
        <w:rPr>
          <w:sz w:val="24"/>
        </w:rPr>
        <w:t>3.</w:t>
      </w:r>
      <w:r>
        <w:rPr>
          <w:sz w:val="24"/>
        </w:rPr>
        <w:t>在本合同有效期内，乙方利用甲方提供的技术资料和工作条件所完成的新的技术成果，甲方按合同支付全部服务费用后，归甲方所有，乙方仅享有署名权。甲方依法行使知识产权，乙方有义务保护本合同项下的工作成果，不得擅自公布、转让或泄露给第三方使用。</w:t>
      </w:r>
    </w:p>
    <w:p>
      <w:pPr>
        <w:ind w:firstLine="420"/>
        <w:jc w:val="both"/>
      </w:pPr>
      <w:r>
        <w:rPr>
          <w:sz w:val="24"/>
        </w:rPr>
        <w:t>4.</w:t>
      </w:r>
      <w:r>
        <w:rPr>
          <w:sz w:val="24"/>
        </w:rPr>
        <w:t>乙方的报告应在客观和独立的基础上完成。乙方报告有可能包含提供意见及建议，但是否执行有关意见及建议则由甲方自行负责做出决定。</w:t>
      </w:r>
    </w:p>
    <w:p>
      <w:pPr>
        <w:ind w:firstLine="420"/>
        <w:jc w:val="both"/>
      </w:pPr>
      <w:r>
        <w:rPr>
          <w:sz w:val="24"/>
        </w:rPr>
        <w:t>5.</w:t>
      </w:r>
      <w:r>
        <w:rPr>
          <w:sz w:val="24"/>
        </w:rPr>
        <w:t>乙方根据甲方提供的修改意见，按合同约定对报告进行适当的修改。对于未被采纳的甲方的意见，乙方需书面向甲方说明原因。如甲方提出的修改意见超过合同约定服务范围和研究深度，双方可就服务内容调整或增加另行商议服务收费。</w:t>
      </w:r>
    </w:p>
    <w:p>
      <w:pPr>
        <w:ind w:firstLine="420"/>
        <w:jc w:val="both"/>
      </w:pPr>
      <w:r>
        <w:rPr>
          <w:sz w:val="24"/>
        </w:rPr>
        <w:t>6.</w:t>
      </w:r>
      <w:r>
        <w:rPr>
          <w:sz w:val="24"/>
        </w:rPr>
        <w:t>乙方提交最终成果数量：</w:t>
      </w:r>
      <w:r>
        <w:rPr>
          <w:sz w:val="24"/>
          <w:u w:val="single"/>
        </w:rPr>
        <w:t>提交纸质文件两套及电子版两套。</w:t>
      </w:r>
    </w:p>
    <w:p>
      <w:pPr>
        <w:ind w:firstLine="420"/>
        <w:jc w:val="both"/>
      </w:pPr>
      <w:r>
        <w:rPr>
          <w:sz w:val="24"/>
        </w:rPr>
        <w:t>7.</w:t>
      </w:r>
      <w:r>
        <w:rPr>
          <w:sz w:val="24"/>
        </w:rPr>
        <w:t>若本合同经双方协议解除，乙方已经完成技术服务成果文件全部归甲方所有，甲方有权与其他技术服务人有权在乙方已经完成的技术服务成果文件的基础上继续进行技术服务，乙方不得有异议，并不得向甲方或者其他技术服务人索取任何报酬。</w:t>
      </w:r>
    </w:p>
    <w:p>
      <w:pPr>
        <w:jc w:val="both"/>
      </w:pPr>
      <w:r>
        <w:rPr>
          <w:b/>
          <w:sz w:val="24"/>
        </w:rPr>
        <w:t>第九条</w:t>
      </w:r>
      <w:r>
        <w:rPr>
          <w:b/>
          <w:sz w:val="24"/>
        </w:rPr>
        <w:t xml:space="preserve"> </w:t>
      </w:r>
      <w:r>
        <w:rPr>
          <w:b/>
          <w:sz w:val="24"/>
        </w:rPr>
        <w:t>双方确定，按以下约定承担各自的违约责任：</w:t>
      </w:r>
    </w:p>
    <w:p>
      <w:pPr>
        <w:ind w:firstLine="420"/>
        <w:jc w:val="both"/>
      </w:pPr>
      <w:r>
        <w:rPr>
          <w:sz w:val="24"/>
        </w:rPr>
        <w:t>1</w:t>
      </w:r>
      <w:r>
        <w:rPr>
          <w:sz w:val="24"/>
        </w:rPr>
        <w:t>．</w:t>
      </w:r>
      <w:r>
        <w:rPr>
          <w:sz w:val="24"/>
          <w:u w:val="single"/>
        </w:rPr>
        <w:t xml:space="preserve">   </w:t>
      </w:r>
      <w:r>
        <w:rPr>
          <w:sz w:val="24"/>
          <w:u w:val="single"/>
        </w:rPr>
        <w:t>乙</w:t>
      </w:r>
      <w:r>
        <w:rPr>
          <w:sz w:val="24"/>
          <w:u w:val="single"/>
        </w:rPr>
        <w:t xml:space="preserve">  </w:t>
      </w:r>
      <w:r>
        <w:rPr>
          <w:sz w:val="24"/>
        </w:rPr>
        <w:t>方违反本合同第</w:t>
      </w:r>
      <w:r>
        <w:rPr>
          <w:sz w:val="24"/>
          <w:u w:val="single"/>
        </w:rPr>
        <w:t xml:space="preserve">  </w:t>
      </w:r>
      <w:r>
        <w:rPr>
          <w:sz w:val="24"/>
          <w:u w:val="single"/>
        </w:rPr>
        <w:t>一、二</w:t>
      </w:r>
      <w:r>
        <w:rPr>
          <w:sz w:val="24"/>
          <w:u w:val="single"/>
        </w:rPr>
        <w:t xml:space="preserve"> </w:t>
      </w:r>
      <w:r>
        <w:rPr>
          <w:sz w:val="24"/>
        </w:rPr>
        <w:t>条约定，应当</w:t>
      </w:r>
      <w:r>
        <w:rPr>
          <w:sz w:val="24"/>
          <w:u w:val="single"/>
        </w:rPr>
        <w:t xml:space="preserve"> </w:t>
      </w:r>
      <w:r>
        <w:rPr>
          <w:sz w:val="24"/>
          <w:u w:val="single"/>
        </w:rPr>
        <w:t>赔偿由此造成的损失，赔偿总额不超过本项目合同额。乙方未能按期提交服务成果的，每逾期</w:t>
      </w:r>
      <w:r>
        <w:rPr>
          <w:sz w:val="24"/>
          <w:u w:val="single"/>
        </w:rPr>
        <w:t>10</w:t>
      </w:r>
      <w:r>
        <w:rPr>
          <w:sz w:val="24"/>
          <w:u w:val="single"/>
        </w:rPr>
        <w:t>天，乙方应向甲方支付本合同技术服务费总额</w:t>
      </w:r>
      <w:r>
        <w:rPr>
          <w:sz w:val="24"/>
          <w:u w:val="single"/>
        </w:rPr>
        <w:t>1%</w:t>
      </w:r>
      <w:r>
        <w:rPr>
          <w:sz w:val="24"/>
          <w:u w:val="single"/>
        </w:rPr>
        <w:t>的违约金，逾期超过</w:t>
      </w:r>
      <w:r>
        <w:rPr>
          <w:sz w:val="24"/>
          <w:u w:val="single"/>
        </w:rPr>
        <w:t>30</w:t>
      </w:r>
      <w:r>
        <w:rPr>
          <w:sz w:val="24"/>
          <w:u w:val="single"/>
        </w:rPr>
        <w:t>日的，甲方有权解除本合同。甲方有权从应支付给乙方的技术服务费中直接扣除相应违约金。</w:t>
      </w:r>
    </w:p>
    <w:p>
      <w:pPr>
        <w:ind w:firstLine="484"/>
        <w:jc w:val="both"/>
      </w:pPr>
      <w:r>
        <w:rPr>
          <w:sz w:val="24"/>
        </w:rPr>
        <w:t>2</w:t>
      </w:r>
      <w:r>
        <w:rPr>
          <w:sz w:val="24"/>
        </w:rPr>
        <w:t>．</w:t>
      </w:r>
      <w:r>
        <w:rPr>
          <w:sz w:val="24"/>
          <w:u w:val="single"/>
        </w:rPr>
        <w:t xml:space="preserve">   </w:t>
      </w:r>
      <w:r>
        <w:rPr>
          <w:sz w:val="24"/>
          <w:u w:val="single"/>
        </w:rPr>
        <w:t>甲</w:t>
      </w:r>
      <w:r>
        <w:rPr>
          <w:sz w:val="24"/>
          <w:u w:val="single"/>
        </w:rPr>
        <w:t xml:space="preserve">  </w:t>
      </w:r>
      <w:r>
        <w:rPr>
          <w:sz w:val="24"/>
        </w:rPr>
        <w:t>方违反本合同第</w:t>
      </w:r>
      <w:r>
        <w:rPr>
          <w:sz w:val="24"/>
          <w:u w:val="single"/>
        </w:rPr>
        <w:t xml:space="preserve">   </w:t>
      </w:r>
      <w:r>
        <w:rPr>
          <w:sz w:val="24"/>
          <w:u w:val="single"/>
        </w:rPr>
        <w:t>三</w:t>
      </w:r>
      <w:r>
        <w:rPr>
          <w:sz w:val="24"/>
          <w:u w:val="single"/>
        </w:rPr>
        <w:t xml:space="preserve">  </w:t>
      </w:r>
      <w:r>
        <w:rPr>
          <w:sz w:val="24"/>
        </w:rPr>
        <w:t>条约定，应当</w:t>
      </w:r>
      <w:r>
        <w:rPr>
          <w:sz w:val="24"/>
          <w:u w:val="single"/>
        </w:rPr>
        <w:t>调整项目进度，并根据进度调整付费。</w:t>
      </w:r>
    </w:p>
    <w:p>
      <w:pPr>
        <w:jc w:val="both"/>
      </w:pPr>
      <w:r>
        <w:rPr>
          <w:b/>
          <w:sz w:val="24"/>
        </w:rPr>
        <w:t>第十条</w:t>
      </w:r>
      <w:r>
        <w:rPr>
          <w:b/>
          <w:sz w:val="24"/>
        </w:rPr>
        <w:t>双方确定，在本合同有效期内，甲方指定</w:t>
      </w:r>
      <w:r>
        <w:rPr>
          <w:b/>
          <w:sz w:val="24"/>
          <w:u w:val="single"/>
        </w:rPr>
        <w:t xml:space="preserve"> </w:t>
      </w:r>
      <w:r>
        <w:rPr>
          <w:b/>
          <w:sz w:val="24"/>
          <w:u w:val="single"/>
        </w:rPr>
        <w:t xml:space="preserve">       </w:t>
      </w:r>
      <w:r>
        <w:rPr>
          <w:b/>
          <w:sz w:val="24"/>
          <w:u w:val="single"/>
        </w:rPr>
        <w:t xml:space="preserve"> </w:t>
      </w:r>
      <w:r>
        <w:rPr>
          <w:b/>
          <w:sz w:val="24"/>
        </w:rPr>
        <w:t>为甲方项目联系人，乙方指定</w:t>
      </w:r>
      <w:r>
        <w:rPr>
          <w:b/>
          <w:sz w:val="24"/>
          <w:u w:val="single"/>
        </w:rPr>
        <w:t xml:space="preserve"> </w:t>
      </w:r>
      <w:r>
        <w:rPr>
          <w:b/>
          <w:sz w:val="24"/>
          <w:u w:val="single"/>
        </w:rPr>
        <w:t xml:space="preserve">      </w:t>
      </w:r>
      <w:r>
        <w:rPr>
          <w:b/>
          <w:sz w:val="24"/>
          <w:u w:val="single"/>
        </w:rPr>
        <w:t xml:space="preserve"> </w:t>
      </w:r>
      <w:r>
        <w:rPr>
          <w:b/>
          <w:sz w:val="24"/>
        </w:rPr>
        <w:t>为乙方项目联系人。</w:t>
      </w:r>
    </w:p>
    <w:p>
      <w:pPr>
        <w:ind w:firstLine="420"/>
        <w:jc w:val="both"/>
      </w:pPr>
      <w:r>
        <w:rPr>
          <w:sz w:val="24"/>
        </w:rPr>
        <w:t>项目联系人承担以下责任：</w:t>
      </w:r>
    </w:p>
    <w:p>
      <w:pPr>
        <w:ind w:firstLine="420"/>
        <w:jc w:val="both"/>
      </w:pPr>
      <w:r>
        <w:rPr>
          <w:sz w:val="24"/>
        </w:rPr>
        <w:t>1</w:t>
      </w:r>
      <w:r>
        <w:rPr>
          <w:sz w:val="24"/>
        </w:rPr>
        <w:t>．</w:t>
      </w:r>
      <w:r>
        <w:rPr>
          <w:sz w:val="24"/>
          <w:u w:val="single"/>
        </w:rPr>
        <w:t>甲方联系人需要配合技术服务进度，提供项目相关资料，确认阶段性成果</w:t>
      </w:r>
      <w:r>
        <w:rPr>
          <w:sz w:val="24"/>
        </w:rPr>
        <w:t>；</w:t>
      </w:r>
    </w:p>
    <w:p>
      <w:pPr>
        <w:ind w:firstLine="420"/>
        <w:jc w:val="both"/>
      </w:pPr>
      <w:r>
        <w:rPr>
          <w:sz w:val="24"/>
        </w:rPr>
        <w:t>2</w:t>
      </w:r>
      <w:r>
        <w:rPr>
          <w:sz w:val="24"/>
        </w:rPr>
        <w:t>．</w:t>
      </w:r>
      <w:r>
        <w:rPr>
          <w:sz w:val="24"/>
          <w:u w:val="single"/>
        </w:rPr>
        <w:t>乙方联系人需要定期向甲方报告服务完成情况</w:t>
      </w:r>
      <w:r>
        <w:rPr>
          <w:sz w:val="24"/>
        </w:rPr>
        <w:t>。</w:t>
      </w:r>
    </w:p>
    <w:p>
      <w:pPr>
        <w:ind w:firstLine="420"/>
        <w:jc w:val="both"/>
      </w:pPr>
      <w:r>
        <w:rPr>
          <w:sz w:val="24"/>
        </w:rPr>
        <w:t>一方变更项目联系人的，应当及时以书面形式通知另一方。未及时通知并影响本合同履行或造成损失的，应承担相应的责任。</w:t>
      </w:r>
    </w:p>
    <w:p>
      <w:pPr>
        <w:jc w:val="both"/>
      </w:pPr>
      <w:r>
        <w:rPr>
          <w:b/>
          <w:sz w:val="24"/>
        </w:rPr>
        <w:t>第十一条</w:t>
      </w:r>
      <w:r>
        <w:rPr>
          <w:b/>
          <w:sz w:val="24"/>
        </w:rPr>
        <w:t>双方确定，出现下列情形，致使本合同的履行成为不必要或不可能的，可以解除本合同：</w:t>
      </w:r>
    </w:p>
    <w:p>
      <w:pPr>
        <w:ind w:firstLine="420"/>
        <w:jc w:val="both"/>
      </w:pPr>
      <w:r>
        <w:rPr>
          <w:sz w:val="24"/>
        </w:rPr>
        <w:t>1</w:t>
      </w:r>
      <w:r>
        <w:rPr>
          <w:sz w:val="24"/>
        </w:rPr>
        <w:t>．</w:t>
      </w:r>
      <w:r>
        <w:rPr>
          <w:sz w:val="24"/>
          <w:u w:val="single"/>
        </w:rPr>
        <w:t>发生不可抗力；</w:t>
      </w:r>
    </w:p>
    <w:p>
      <w:pPr>
        <w:ind w:firstLine="420"/>
        <w:jc w:val="both"/>
      </w:pPr>
      <w:r>
        <w:rPr>
          <w:sz w:val="24"/>
        </w:rPr>
        <w:t>2</w:t>
      </w:r>
      <w:r>
        <w:rPr>
          <w:sz w:val="24"/>
        </w:rPr>
        <w:t>．</w:t>
      </w:r>
      <w:r>
        <w:rPr>
          <w:sz w:val="24"/>
          <w:u w:val="single"/>
        </w:rPr>
        <w:t>因国家政策调整及甲方原因，导致该项目未完成。甲方应根据乙方已进行的实际工作量，支付相应阶段费用。</w:t>
      </w:r>
    </w:p>
    <w:p>
      <w:pPr>
        <w:jc w:val="both"/>
      </w:pPr>
      <w:r>
        <w:rPr>
          <w:b/>
          <w:sz w:val="24"/>
        </w:rPr>
        <w:t>第十二条</w:t>
      </w:r>
      <w:r>
        <w:rPr>
          <w:b/>
          <w:sz w:val="24"/>
        </w:rPr>
        <w:t>双方因履行本合同发生的争议，应协商、调节解决。协商、调节不成的，确定按以下第</w:t>
      </w:r>
      <w:r>
        <w:rPr>
          <w:b/>
          <w:sz w:val="24"/>
          <w:u w:val="single"/>
        </w:rPr>
        <w:t xml:space="preserve">   </w:t>
      </w:r>
      <w:r>
        <w:rPr>
          <w:b/>
          <w:sz w:val="24"/>
          <w:u w:val="single"/>
        </w:rPr>
        <w:t xml:space="preserve">2  </w:t>
      </w:r>
      <w:r>
        <w:rPr>
          <w:b/>
          <w:sz w:val="24"/>
        </w:rPr>
        <w:t>种方式处理：</w:t>
      </w:r>
    </w:p>
    <w:p>
      <w:pPr>
        <w:ind w:firstLine="420"/>
        <w:jc w:val="both"/>
      </w:pPr>
      <w:r>
        <w:rPr>
          <w:sz w:val="24"/>
        </w:rPr>
        <w:t>1</w:t>
      </w:r>
      <w:r>
        <w:rPr>
          <w:sz w:val="24"/>
        </w:rPr>
        <w:t>．提交</w:t>
      </w:r>
      <w:r>
        <w:rPr>
          <w:sz w:val="24"/>
          <w:u w:val="single"/>
        </w:rPr>
        <w:t xml:space="preserve">  </w:t>
      </w:r>
      <w:r>
        <w:rPr>
          <w:sz w:val="24"/>
          <w:u w:val="single"/>
        </w:rPr>
        <w:t>广州市</w:t>
      </w:r>
      <w:r>
        <w:rPr>
          <w:sz w:val="24"/>
          <w:u w:val="single"/>
        </w:rPr>
        <w:t xml:space="preserve"> </w:t>
      </w:r>
      <w:r>
        <w:rPr>
          <w:sz w:val="24"/>
        </w:rPr>
        <w:t>仲裁委员会仲裁；</w:t>
      </w:r>
    </w:p>
    <w:p>
      <w:pPr>
        <w:ind w:firstLine="420"/>
        <w:jc w:val="both"/>
      </w:pPr>
      <w:r>
        <w:rPr>
          <w:sz w:val="24"/>
        </w:rPr>
        <w:t>2</w:t>
      </w:r>
      <w:r>
        <w:rPr>
          <w:sz w:val="24"/>
        </w:rPr>
        <w:t>．依法向</w:t>
      </w:r>
      <w:r>
        <w:rPr>
          <w:sz w:val="24"/>
          <w:u w:val="single"/>
        </w:rPr>
        <w:t>广州市南沙区</w:t>
      </w:r>
      <w:r>
        <w:rPr>
          <w:sz w:val="24"/>
        </w:rPr>
        <w:t>人民法院起诉。</w:t>
      </w:r>
    </w:p>
    <w:p>
      <w:pPr>
        <w:jc w:val="both"/>
      </w:pPr>
      <w:r>
        <w:rPr>
          <w:b/>
          <w:sz w:val="24"/>
        </w:rPr>
        <w:t>第十三条</w:t>
      </w:r>
      <w:r>
        <w:rPr>
          <w:b/>
          <w:sz w:val="24"/>
        </w:rPr>
        <w:t>双方确定：本合同及相关附件中所涉及的有关名词和技术语，其定义和解释如下：</w:t>
      </w:r>
    </w:p>
    <w:p>
      <w:pPr>
        <w:ind w:firstLine="420"/>
        <w:jc w:val="both"/>
      </w:pPr>
      <w:r>
        <w:rPr>
          <w:sz w:val="24"/>
        </w:rPr>
        <w:t>1</w:t>
      </w:r>
      <w:r>
        <w:rPr>
          <w:sz w:val="24"/>
        </w:rPr>
        <w:t>．</w:t>
      </w:r>
      <w:r>
        <w:rPr>
          <w:sz w:val="24"/>
          <w:u w:val="single"/>
        </w:rPr>
        <w:t xml:space="preserve">          </w:t>
      </w:r>
      <w:r>
        <w:rPr>
          <w:sz w:val="24"/>
          <w:u w:val="single"/>
        </w:rPr>
        <w:t xml:space="preserve">/          </w:t>
      </w:r>
      <w:r>
        <w:rPr>
          <w:sz w:val="24"/>
        </w:rPr>
        <w:t>。</w:t>
      </w:r>
    </w:p>
    <w:p>
      <w:pPr>
        <w:jc w:val="both"/>
      </w:pPr>
      <w:r>
        <w:rPr>
          <w:b/>
          <w:sz w:val="24"/>
        </w:rPr>
        <w:t>第十四条</w:t>
      </w:r>
      <w:r>
        <w:rPr>
          <w:b/>
          <w:sz w:val="24"/>
        </w:rPr>
        <w:t>与履行合同有关的下列技术文件，经双方以</w:t>
      </w:r>
      <w:r>
        <w:rPr>
          <w:b/>
          <w:sz w:val="24"/>
          <w:u w:val="single"/>
        </w:rPr>
        <w:t xml:space="preserve">  </w:t>
      </w:r>
      <w:r>
        <w:rPr>
          <w:b/>
          <w:sz w:val="24"/>
          <w:u w:val="single"/>
        </w:rPr>
        <w:t xml:space="preserve">/  </w:t>
      </w:r>
      <w:r>
        <w:rPr>
          <w:b/>
          <w:sz w:val="24"/>
        </w:rPr>
        <w:t>方式确认后，为本合同的组成部分：</w:t>
      </w:r>
    </w:p>
    <w:p>
      <w:pPr>
        <w:ind w:firstLine="420"/>
        <w:jc w:val="both"/>
      </w:pPr>
      <w:r>
        <w:rPr>
          <w:sz w:val="24"/>
        </w:rPr>
        <w:t>1</w:t>
      </w:r>
      <w:r>
        <w:rPr>
          <w:sz w:val="24"/>
        </w:rPr>
        <w:t>．技术背景资料：</w:t>
      </w:r>
      <w:r>
        <w:rPr>
          <w:sz w:val="24"/>
          <w:u w:val="single"/>
        </w:rPr>
        <w:t xml:space="preserve">              </w:t>
      </w:r>
      <w:r>
        <w:rPr>
          <w:sz w:val="24"/>
          <w:u w:val="single"/>
        </w:rPr>
        <w:t xml:space="preserve">/                         </w:t>
      </w:r>
      <w:r>
        <w:rPr>
          <w:sz w:val="24"/>
        </w:rPr>
        <w:t>；</w:t>
      </w:r>
    </w:p>
    <w:p>
      <w:pPr>
        <w:ind w:firstLine="420"/>
        <w:jc w:val="both"/>
      </w:pPr>
      <w:r>
        <w:rPr>
          <w:sz w:val="24"/>
        </w:rPr>
        <w:t>2</w:t>
      </w:r>
      <w:r>
        <w:rPr>
          <w:sz w:val="24"/>
        </w:rPr>
        <w:t>．可行性论证报告：</w:t>
      </w:r>
      <w:r>
        <w:rPr>
          <w:sz w:val="24"/>
          <w:u w:val="single"/>
        </w:rPr>
        <w:t xml:space="preserve">            </w:t>
      </w:r>
      <w:r>
        <w:rPr>
          <w:sz w:val="24"/>
          <w:u w:val="single"/>
        </w:rPr>
        <w:t xml:space="preserve">/                         </w:t>
      </w:r>
      <w:r>
        <w:rPr>
          <w:sz w:val="24"/>
        </w:rPr>
        <w:t>；</w:t>
      </w:r>
      <w:r>
        <w:rPr>
          <w:sz w:val="24"/>
        </w:rPr>
        <w:t xml:space="preserve">  </w:t>
      </w:r>
    </w:p>
    <w:p>
      <w:pPr>
        <w:ind w:firstLine="420"/>
        <w:jc w:val="both"/>
      </w:pPr>
      <w:r>
        <w:rPr>
          <w:sz w:val="24"/>
        </w:rPr>
        <w:t>3</w:t>
      </w:r>
      <w:r>
        <w:rPr>
          <w:sz w:val="24"/>
        </w:rPr>
        <w:t>．技术评价报告：</w:t>
      </w:r>
      <w:r>
        <w:rPr>
          <w:sz w:val="24"/>
          <w:u w:val="single"/>
        </w:rPr>
        <w:t xml:space="preserve">             </w:t>
      </w:r>
      <w:r>
        <w:rPr>
          <w:sz w:val="24"/>
          <w:u w:val="single"/>
        </w:rPr>
        <w:t xml:space="preserve">/                          </w:t>
      </w:r>
      <w:r>
        <w:rPr>
          <w:sz w:val="24"/>
        </w:rPr>
        <w:t>；</w:t>
      </w:r>
      <w:r>
        <w:rPr>
          <w:sz w:val="24"/>
        </w:rPr>
        <w:t xml:space="preserve"> </w:t>
      </w:r>
    </w:p>
    <w:p>
      <w:pPr>
        <w:ind w:firstLine="420"/>
        <w:jc w:val="both"/>
      </w:pPr>
      <w:r>
        <w:rPr>
          <w:sz w:val="24"/>
        </w:rPr>
        <w:t>4</w:t>
      </w:r>
      <w:r>
        <w:rPr>
          <w:sz w:val="24"/>
        </w:rPr>
        <w:t>．技术标准和规范：</w:t>
      </w:r>
      <w:r>
        <w:rPr>
          <w:sz w:val="24"/>
          <w:u w:val="single"/>
        </w:rPr>
        <w:t xml:space="preserve">            </w:t>
      </w:r>
      <w:r>
        <w:rPr>
          <w:sz w:val="24"/>
          <w:u w:val="single"/>
        </w:rPr>
        <w:t xml:space="preserve">/                         </w:t>
      </w:r>
      <w:r>
        <w:rPr>
          <w:sz w:val="24"/>
        </w:rPr>
        <w:t>；</w:t>
      </w:r>
      <w:r>
        <w:rPr>
          <w:sz w:val="24"/>
        </w:rPr>
        <w:t xml:space="preserve"> </w:t>
      </w:r>
    </w:p>
    <w:p>
      <w:pPr>
        <w:jc w:val="both"/>
      </w:pPr>
      <w:r>
        <w:rPr>
          <w:b/>
          <w:sz w:val="24"/>
        </w:rPr>
        <w:t>第十五条</w:t>
      </w:r>
      <w:r>
        <w:rPr>
          <w:b/>
          <w:sz w:val="24"/>
        </w:rPr>
        <w:t>廉洁条款</w:t>
      </w:r>
    </w:p>
    <w:p>
      <w:pPr>
        <w:ind w:firstLine="420"/>
        <w:jc w:val="both"/>
      </w:pPr>
      <w:r>
        <w:rPr>
          <w:sz w:val="24"/>
        </w:rPr>
        <w:t>严禁甲方人员以任何方式明、暗示乙方请吃、请喝、收受乙方礼金、礼品或接受乙方提供的其他私人便利或利益。严禁乙方以任何方式向甲方人员提供私人便利、行贿或进行非正常商务宴请。如果出现乙方在履约过程进行私下请吃、向甲方人员提供私人便利、行贿等一切非正常的经济活动，一经查实，甲方有权单方终止上述行为所涉及的相关合同，且乙方须承担由此造成的一切损失，甲方保留追究其法律责任的权利；如果乙方事后主动积极向甲方陈述事实，或有证据显示以上行为为甲方人员施压的不得已行为，则乙方仍保留与上述行为相关的合同的权利和义务。</w:t>
      </w:r>
    </w:p>
    <w:p>
      <w:pPr>
        <w:jc w:val="both"/>
      </w:pPr>
      <w:r>
        <w:rPr>
          <w:b/>
          <w:sz w:val="24"/>
        </w:rPr>
        <w:t>第十六条</w:t>
      </w:r>
      <w:r>
        <w:rPr>
          <w:b/>
          <w:sz w:val="24"/>
        </w:rPr>
        <w:t>本合同未尽事宜，由双方协商签订补充协议。补充协议与本合同具有同等法律效力。补充协议必须以书面形式并经双方签字盖章后方能生效。</w:t>
      </w:r>
      <w:r>
        <w:rPr>
          <w:b/>
          <w:sz w:val="24"/>
        </w:rPr>
        <w:t>补充协议与本合同不一致的地方，以补充协议为准。</w:t>
      </w:r>
    </w:p>
    <w:p>
      <w:pPr>
        <w:jc w:val="both"/>
      </w:pPr>
      <w:r>
        <w:rPr>
          <w:b/>
          <w:sz w:val="24"/>
        </w:rPr>
        <w:t>第十七条</w:t>
      </w:r>
      <w:r>
        <w:rPr>
          <w:b/>
          <w:sz w:val="24"/>
        </w:rPr>
        <w:t xml:space="preserve"> </w:t>
      </w:r>
      <w:r>
        <w:rPr>
          <w:b/>
          <w:sz w:val="24"/>
        </w:rPr>
        <w:t>本合同一式</w:t>
      </w:r>
      <w:r>
        <w:rPr>
          <w:b/>
          <w:sz w:val="24"/>
          <w:u w:val="single"/>
        </w:rPr>
        <w:t>拾壹</w:t>
      </w:r>
      <w:r>
        <w:rPr>
          <w:b/>
          <w:sz w:val="24"/>
        </w:rPr>
        <w:t>份，甲方持</w:t>
      </w:r>
      <w:r>
        <w:rPr>
          <w:b/>
          <w:sz w:val="24"/>
          <w:u w:val="single"/>
        </w:rPr>
        <w:t>肆</w:t>
      </w:r>
      <w:r>
        <w:rPr>
          <w:b/>
          <w:sz w:val="24"/>
        </w:rPr>
        <w:t>份，乙方持</w:t>
      </w:r>
      <w:r>
        <w:rPr>
          <w:b/>
          <w:sz w:val="24"/>
          <w:u w:val="single"/>
        </w:rPr>
        <w:t>陆</w:t>
      </w:r>
      <w:r>
        <w:rPr>
          <w:b/>
          <w:sz w:val="24"/>
        </w:rPr>
        <w:t>份，采购代理机构持</w:t>
      </w:r>
      <w:r>
        <w:rPr>
          <w:b/>
          <w:sz w:val="24"/>
          <w:u w:val="single"/>
        </w:rPr>
        <w:t>壹</w:t>
      </w:r>
      <w:r>
        <w:rPr>
          <w:b/>
          <w:sz w:val="24"/>
        </w:rPr>
        <w:t>份，具有同等法律效力。</w:t>
      </w:r>
    </w:p>
    <w:p>
      <w:pPr>
        <w:jc w:val="both"/>
      </w:pPr>
      <w:r>
        <w:rPr>
          <w:b/>
          <w:sz w:val="24"/>
        </w:rPr>
        <w:t>第十八条</w:t>
      </w:r>
      <w:r>
        <w:rPr>
          <w:b/>
          <w:sz w:val="24"/>
        </w:rPr>
        <w:t xml:space="preserve"> </w:t>
      </w:r>
      <w:r>
        <w:rPr>
          <w:b/>
          <w:sz w:val="24"/>
        </w:rPr>
        <w:t>本合同经双方</w:t>
      </w:r>
      <w:r>
        <w:rPr>
          <w:b/>
          <w:sz w:val="24"/>
        </w:rPr>
        <w:t>法定代表人或授权代表</w:t>
      </w:r>
      <w:r>
        <w:rPr>
          <w:b/>
          <w:sz w:val="24"/>
        </w:rPr>
        <w:t>签字</w:t>
      </w:r>
      <w:r>
        <w:rPr>
          <w:b/>
          <w:sz w:val="24"/>
        </w:rPr>
        <w:t>并加</w:t>
      </w:r>
      <w:r>
        <w:rPr>
          <w:b/>
          <w:sz w:val="24"/>
        </w:rPr>
        <w:t>盖</w:t>
      </w:r>
      <w:r>
        <w:rPr>
          <w:b/>
          <w:sz w:val="24"/>
        </w:rPr>
        <w:t>公</w:t>
      </w:r>
      <w:r>
        <w:rPr>
          <w:b/>
          <w:sz w:val="24"/>
        </w:rPr>
        <w:t>章后生效。</w:t>
      </w:r>
    </w:p>
    <w:p>
      <w:pPr>
        <w:jc w:val="both"/>
      </w:pPr>
      <w:r>
        <w:rPr>
          <w:sz w:val="24"/>
        </w:rPr>
        <w:t>（以下无正文）</w:t>
      </w:r>
    </w:p>
    <w:p>
      <w:pPr>
        <w:jc w:val="both"/>
      </w:pPr>
    </w:p>
    <w:p/>
    <w:p/>
    <w:p>
      <w:r>
        <w:rPr/>
        <w:t xml:space="preserve"> </w:t>
      </w:r>
    </w:p>
    <w:p>
      <w:pPr>
        <w:jc w:val="both"/>
      </w:pPr>
      <w:r>
        <w:rPr>
          <w:sz w:val="24"/>
        </w:rPr>
        <w:t>甲方：</w:t>
      </w:r>
      <w:r>
        <w:rPr>
          <w:sz w:val="24"/>
          <w:u w:val="single"/>
        </w:rPr>
        <w:t xml:space="preserve"> </w:t>
      </w:r>
      <w:r>
        <w:rPr>
          <w:sz w:val="24"/>
          <w:u w:val="single"/>
        </w:rPr>
        <w:t>广州市南沙新区明珠湾开发建设管理局</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rPr>
        <w:t>（盖章）</w:t>
      </w:r>
    </w:p>
    <w:p>
      <w:pPr>
        <w:jc w:val="both"/>
      </w:pPr>
    </w:p>
    <w:p>
      <w:pPr>
        <w:jc w:val="both"/>
      </w:pPr>
      <w:r>
        <w:rPr>
          <w:sz w:val="24"/>
        </w:rPr>
        <w:t>法定代表人</w:t>
      </w:r>
      <w:r>
        <w:rPr>
          <w:sz w:val="24"/>
        </w:rPr>
        <w:t>/</w:t>
      </w:r>
      <w:r>
        <w:rPr>
          <w:sz w:val="24"/>
        </w:rPr>
        <w:t>授权代表</w:t>
      </w:r>
      <w:r>
        <w:rPr>
          <w:sz w:val="24"/>
        </w:rPr>
        <w:t>：</w:t>
      </w:r>
      <w:r>
        <w:rPr>
          <w:sz w:val="24"/>
          <w:u w:val="single"/>
        </w:rPr>
        <w:t xml:space="preserve">                             </w:t>
      </w:r>
      <w:r>
        <w:rPr>
          <w:sz w:val="24"/>
        </w:rPr>
        <w:t>（签名）</w:t>
      </w:r>
    </w:p>
    <w:p>
      <w:pPr>
        <w:jc w:val="both"/>
      </w:pPr>
    </w:p>
    <w:p>
      <w:pPr>
        <w:jc w:val="both"/>
      </w:pPr>
      <w:r>
        <w:rPr>
          <w:sz w:val="24"/>
        </w:rPr>
        <w:t xml:space="preserve">                                          </w:t>
      </w:r>
      <w:r>
        <w:rPr>
          <w:sz w:val="24"/>
        </w:rPr>
        <w:t>年</w:t>
      </w:r>
      <w:r>
        <w:rPr>
          <w:sz w:val="24"/>
        </w:rPr>
        <w:t xml:space="preserve">   </w:t>
      </w:r>
      <w:r>
        <w:rPr>
          <w:sz w:val="24"/>
        </w:rPr>
        <w:t>月</w:t>
      </w:r>
      <w:r>
        <w:rPr>
          <w:sz w:val="24"/>
        </w:rPr>
        <w:t xml:space="preserve">    </w:t>
      </w:r>
      <w:r>
        <w:rPr>
          <w:sz w:val="24"/>
        </w:rPr>
        <w:t>日</w:t>
      </w:r>
    </w:p>
    <w:p>
      <w:pPr>
        <w:jc w:val="both"/>
      </w:pPr>
    </w:p>
    <w:p>
      <w:pPr>
        <w:jc w:val="both"/>
      </w:pPr>
    </w:p>
    <w:p>
      <w:pPr>
        <w:jc w:val="left"/>
      </w:pPr>
      <w:r>
        <w:rPr>
          <w:sz w:val="24"/>
        </w:rPr>
        <w:t>乙方：</w:t>
      </w:r>
      <w:r>
        <w:rPr>
          <w:sz w:val="24"/>
          <w:u w:val="single"/>
        </w:rPr>
        <w:t xml:space="preserve">                 </w:t>
      </w:r>
      <w:r>
        <w:rPr>
          <w:sz w:val="24"/>
          <w:u w:val="single"/>
        </w:rPr>
        <w:t xml:space="preserve">  </w:t>
      </w:r>
      <w:r>
        <w:rPr>
          <w:sz w:val="24"/>
          <w:u w:val="single"/>
        </w:rPr>
        <w:t xml:space="preserve">               </w:t>
      </w:r>
      <w:r>
        <w:rPr>
          <w:sz w:val="24"/>
        </w:rPr>
        <w:t>（盖章）</w:t>
      </w:r>
    </w:p>
    <w:p>
      <w:pPr>
        <w:jc w:val="both"/>
      </w:pPr>
    </w:p>
    <w:p>
      <w:pPr>
        <w:jc w:val="both"/>
      </w:pPr>
      <w:r>
        <w:rPr>
          <w:sz w:val="24"/>
        </w:rPr>
        <w:t>法定代表人</w:t>
      </w:r>
      <w:r>
        <w:rPr>
          <w:sz w:val="24"/>
        </w:rPr>
        <w:t>/</w:t>
      </w:r>
      <w:r>
        <w:rPr>
          <w:sz w:val="24"/>
        </w:rPr>
        <w:t>授权代表</w:t>
      </w:r>
      <w:r>
        <w:rPr>
          <w:sz w:val="24"/>
        </w:rPr>
        <w:t>：</w:t>
      </w:r>
      <w:r>
        <w:rPr>
          <w:sz w:val="24"/>
          <w:u w:val="single"/>
        </w:rPr>
        <w:t xml:space="preserve">                             </w:t>
      </w:r>
      <w:r>
        <w:rPr>
          <w:sz w:val="24"/>
        </w:rPr>
        <w:t>（签名）</w:t>
      </w:r>
    </w:p>
    <w:p>
      <w:pPr>
        <w:jc w:val="both"/>
      </w:pPr>
    </w:p>
    <w:p>
      <w:pPr>
        <w:jc w:val="left"/>
      </w:pPr>
      <w:r>
        <w:rPr>
          <w:sz w:val="24"/>
        </w:rPr>
        <w:t>项目负责人：</w:t>
      </w:r>
      <w:r>
        <w:rPr>
          <w:sz w:val="24"/>
          <w:u w:val="single"/>
        </w:rPr>
        <w:t xml:space="preserve">                                        </w:t>
      </w:r>
      <w:r>
        <w:rPr>
          <w:sz w:val="24"/>
        </w:rPr>
        <w:t>（签名）</w:t>
      </w:r>
    </w:p>
    <w:p>
      <w:pPr>
        <w:jc w:val="both"/>
      </w:pPr>
      <w:r>
        <w:rPr>
          <w:sz w:val="24"/>
        </w:rPr>
        <w:t xml:space="preserve">                                          </w:t>
      </w:r>
    </w:p>
    <w:p>
      <w:pPr>
        <w:jc w:val="both"/>
      </w:pPr>
      <w:r>
        <w:rPr>
          <w:sz w:val="24"/>
        </w:rPr>
        <w:t xml:space="preserve">                                          </w:t>
      </w:r>
      <w:r>
        <w:rPr>
          <w:sz w:val="24"/>
        </w:rPr>
        <w:t>年</w:t>
      </w:r>
      <w:r>
        <w:rPr>
          <w:sz w:val="24"/>
        </w:rPr>
        <w:t xml:space="preserve">   </w:t>
      </w:r>
      <w:r>
        <w:rPr>
          <w:sz w:val="24"/>
        </w:rPr>
        <w:t>月</w:t>
      </w:r>
      <w:r>
        <w:rPr>
          <w:sz w:val="24"/>
        </w:rPr>
        <w:t xml:space="preserve">    </w:t>
      </w:r>
      <w:r>
        <w:rPr>
          <w:sz w:val="24"/>
        </w:rPr>
        <w:t>日</w:t>
      </w:r>
    </w:p>
    <w:p>
      <w:pPr>
        <w:jc w:val="left"/>
      </w:pPr>
    </w:p>
    <w:p/>
    <w:p>
      <w:r>
        <w:rPr>
          <w:sz w:val="24"/>
        </w:rPr>
        <w:t>附件</w:t>
      </w:r>
      <w:r>
        <w:rPr>
          <w:sz w:val="24"/>
        </w:rPr>
        <w:t>1</w:t>
      </w:r>
    </w:p>
    <w:p>
      <w:r>
        <w:rPr/>
        <w:t xml:space="preserve"> </w:t>
      </w:r>
    </w:p>
    <w:p>
      <w:pPr>
        <w:ind w:firstLine="420"/>
        <w:jc w:val="both"/>
      </w:pPr>
    </w:p>
    <w:p>
      <w:pPr>
        <w:jc w:val="center"/>
      </w:pPr>
      <w:r>
        <w:rPr>
          <w:sz w:val="44"/>
        </w:rPr>
        <w:t>广州市南沙新区明珠湾开发建设管理局</w:t>
      </w:r>
    </w:p>
    <w:p>
      <w:pPr>
        <w:jc w:val="center"/>
      </w:pPr>
      <w:r>
        <w:rPr>
          <w:sz w:val="44"/>
        </w:rPr>
        <w:t>项目</w:t>
      </w:r>
      <w:r>
        <w:rPr>
          <w:sz w:val="44"/>
        </w:rPr>
        <w:t>廉</w:t>
      </w:r>
      <w:r>
        <w:rPr>
          <w:sz w:val="44"/>
        </w:rPr>
        <w:t>洁</w:t>
      </w:r>
      <w:r>
        <w:rPr>
          <w:sz w:val="44"/>
        </w:rPr>
        <w:t>责任</w:t>
      </w:r>
      <w:r>
        <w:rPr>
          <w:sz w:val="44"/>
        </w:rPr>
        <w:t>合同</w:t>
      </w:r>
    </w:p>
    <w:p>
      <w:pPr>
        <w:jc w:val="center"/>
      </w:pPr>
      <w:r>
        <w:rPr>
          <w:sz w:val="24"/>
        </w:rPr>
        <w:t>（</w:t>
      </w:r>
      <w:r>
        <w:rPr>
          <w:sz w:val="24"/>
        </w:rPr>
        <w:t>适用于非工程建设项目</w:t>
      </w:r>
      <w:r>
        <w:rPr>
          <w:sz w:val="24"/>
        </w:rPr>
        <w:t>）</w:t>
      </w:r>
    </w:p>
    <w:p>
      <w:pPr>
        <w:jc w:val="center"/>
      </w:pPr>
    </w:p>
    <w:p>
      <w:pPr>
        <w:jc w:val="both"/>
      </w:pPr>
      <w:r>
        <w:rPr>
          <w:sz w:val="24"/>
        </w:rPr>
        <w:t>甲</w:t>
      </w:r>
      <w:r>
        <w:rPr>
          <w:sz w:val="24"/>
        </w:rPr>
        <w:t>方</w:t>
      </w:r>
      <w:r>
        <w:rPr>
          <w:sz w:val="24"/>
        </w:rPr>
        <w:t>（委托人）</w:t>
      </w:r>
      <w:r>
        <w:rPr>
          <w:sz w:val="24"/>
        </w:rPr>
        <w:t>：</w:t>
      </w:r>
      <w:r>
        <w:rPr>
          <w:sz w:val="24"/>
        </w:rPr>
        <w:t xml:space="preserve">  </w:t>
      </w:r>
    </w:p>
    <w:p>
      <w:pPr>
        <w:jc w:val="both"/>
      </w:pPr>
      <w:r>
        <w:rPr>
          <w:sz w:val="24"/>
        </w:rPr>
        <w:t>乙方</w:t>
      </w:r>
      <w:r>
        <w:rPr>
          <w:sz w:val="24"/>
        </w:rPr>
        <w:t>（</w:t>
      </w:r>
      <w:r>
        <w:rPr>
          <w:sz w:val="24"/>
        </w:rPr>
        <w:t>受托人</w:t>
      </w:r>
      <w:r>
        <w:rPr>
          <w:sz w:val="24"/>
        </w:rPr>
        <w:t>）</w:t>
      </w:r>
      <w:r>
        <w:rPr>
          <w:sz w:val="24"/>
        </w:rPr>
        <w:t>：</w:t>
      </w:r>
    </w:p>
    <w:p>
      <w:pPr>
        <w:jc w:val="both"/>
      </w:pPr>
      <w:r>
        <w:rPr>
          <w:sz w:val="24"/>
        </w:rPr>
        <w:t>项目名称：</w:t>
      </w:r>
    </w:p>
    <w:p>
      <w:pPr>
        <w:jc w:val="both"/>
      </w:pPr>
      <w:r>
        <w:rPr>
          <w:sz w:val="24"/>
        </w:rPr>
        <w:t>项目地点：</w:t>
      </w:r>
      <w:r>
        <w:rPr>
          <w:sz w:val="24"/>
          <w:u w:val="single"/>
        </w:rPr>
        <w:t>广州市南沙区</w:t>
      </w:r>
    </w:p>
    <w:p>
      <w:pPr>
        <w:jc w:val="both"/>
      </w:pPr>
    </w:p>
    <w:p>
      <w:pPr>
        <w:ind w:firstLine="480"/>
        <w:jc w:val="both"/>
      </w:pPr>
      <w:r>
        <w:rPr>
          <w:sz w:val="24"/>
        </w:rPr>
        <w:t>为</w:t>
      </w:r>
      <w:r>
        <w:rPr>
          <w:sz w:val="24"/>
        </w:rPr>
        <w:t>严格</w:t>
      </w:r>
      <w:r>
        <w:rPr>
          <w:sz w:val="24"/>
        </w:rPr>
        <w:t>贯彻落实</w:t>
      </w:r>
      <w:r>
        <w:rPr>
          <w:sz w:val="24"/>
        </w:rPr>
        <w:t>中央八项</w:t>
      </w:r>
      <w:r>
        <w:rPr>
          <w:sz w:val="24"/>
        </w:rPr>
        <w:t>规定</w:t>
      </w:r>
      <w:r>
        <w:rPr>
          <w:sz w:val="24"/>
        </w:rPr>
        <w:t>精神和党风廉政建设</w:t>
      </w:r>
      <w:r>
        <w:rPr>
          <w:sz w:val="24"/>
        </w:rPr>
        <w:t>相关</w:t>
      </w:r>
      <w:r>
        <w:rPr>
          <w:sz w:val="24"/>
        </w:rPr>
        <w:t>规定</w:t>
      </w:r>
      <w:r>
        <w:rPr>
          <w:sz w:val="24"/>
        </w:rPr>
        <w:t>要求</w:t>
      </w:r>
      <w:r>
        <w:rPr>
          <w:sz w:val="24"/>
        </w:rPr>
        <w:t>，</w:t>
      </w:r>
      <w:r>
        <w:rPr>
          <w:sz w:val="24"/>
        </w:rPr>
        <w:t>切实履行</w:t>
      </w:r>
      <w:r>
        <w:rPr>
          <w:sz w:val="24"/>
        </w:rPr>
        <w:t>“</w:t>
      </w:r>
      <w:r>
        <w:rPr>
          <w:sz w:val="24"/>
        </w:rPr>
        <w:t>一岗双责</w:t>
      </w:r>
      <w:r>
        <w:rPr>
          <w:sz w:val="24"/>
        </w:rPr>
        <w:t>”</w:t>
      </w:r>
      <w:r>
        <w:rPr>
          <w:sz w:val="24"/>
        </w:rPr>
        <w:t>，</w:t>
      </w:r>
      <w:r>
        <w:rPr>
          <w:sz w:val="24"/>
        </w:rPr>
        <w:t>推进</w:t>
      </w:r>
      <w:r>
        <w:rPr>
          <w:sz w:val="24"/>
        </w:rPr>
        <w:t>落实</w:t>
      </w:r>
      <w:r>
        <w:rPr>
          <w:sz w:val="24"/>
        </w:rPr>
        <w:t>“</w:t>
      </w:r>
      <w:r>
        <w:rPr>
          <w:sz w:val="24"/>
        </w:rPr>
        <w:t>两个责任</w:t>
      </w:r>
      <w:r>
        <w:rPr>
          <w:sz w:val="24"/>
        </w:rPr>
        <w:t>”</w:t>
      </w:r>
      <w:r>
        <w:rPr>
          <w:sz w:val="24"/>
        </w:rPr>
        <w:t>，</w:t>
      </w:r>
      <w:r>
        <w:rPr>
          <w:sz w:val="24"/>
        </w:rPr>
        <w:t>提升廉洁从业意识</w:t>
      </w:r>
      <w:r>
        <w:rPr>
          <w:sz w:val="24"/>
        </w:rPr>
        <w:t>，</w:t>
      </w:r>
      <w:r>
        <w:rPr>
          <w:sz w:val="24"/>
        </w:rPr>
        <w:t>规范</w:t>
      </w:r>
      <w:r>
        <w:rPr>
          <w:sz w:val="24"/>
        </w:rPr>
        <w:t>项目甲乙</w:t>
      </w:r>
      <w:r>
        <w:rPr>
          <w:sz w:val="24"/>
        </w:rPr>
        <w:t>双方的各项活动，构建亲清政商关系，营造风清气正的</w:t>
      </w:r>
      <w:r>
        <w:rPr>
          <w:sz w:val="24"/>
        </w:rPr>
        <w:t>干事创业</w:t>
      </w:r>
      <w:r>
        <w:rPr>
          <w:sz w:val="24"/>
        </w:rPr>
        <w:t>环境，根据《中华人民共和国反不正当竞争法》</w:t>
      </w:r>
      <w:r>
        <w:rPr>
          <w:sz w:val="24"/>
        </w:rPr>
        <w:t>《</w:t>
      </w:r>
      <w:r>
        <w:rPr>
          <w:sz w:val="24"/>
        </w:rPr>
        <w:t>中华人民共和国政府采购法</w:t>
      </w:r>
      <w:r>
        <w:rPr>
          <w:sz w:val="24"/>
        </w:rPr>
        <w:t>》</w:t>
      </w:r>
      <w:r>
        <w:rPr>
          <w:sz w:val="24"/>
        </w:rPr>
        <w:t>《中华人民共和国招标投标法》及其实施条例等法律法规及政策的规定，双方同意签订本合同。</w:t>
      </w:r>
    </w:p>
    <w:p>
      <w:pPr>
        <w:ind w:firstLine="480"/>
        <w:jc w:val="both"/>
      </w:pPr>
      <w:r>
        <w:rPr>
          <w:sz w:val="24"/>
        </w:rPr>
        <w:t>第一条</w:t>
      </w:r>
      <w:r>
        <w:rPr>
          <w:sz w:val="24"/>
        </w:rPr>
        <w:t xml:space="preserve"> </w:t>
      </w:r>
      <w:r>
        <w:rPr>
          <w:sz w:val="24"/>
        </w:rPr>
        <w:t>本合同适用于</w:t>
      </w:r>
      <w:r>
        <w:rPr>
          <w:sz w:val="24"/>
        </w:rPr>
        <w:t>广州市南沙新区明珠湾开发建设管理局</w:t>
      </w:r>
      <w:r>
        <w:rPr>
          <w:sz w:val="24"/>
        </w:rPr>
        <w:t>负责实施的南沙区政府财政资金和国有资金占控股或主导地位的非工程建设项目（含工程施工类及服务类）。</w:t>
      </w:r>
    </w:p>
    <w:p>
      <w:pPr>
        <w:ind w:firstLine="480"/>
        <w:jc w:val="both"/>
      </w:pPr>
      <w:r>
        <w:rPr>
          <w:sz w:val="24"/>
        </w:rPr>
        <w:t>第二条</w:t>
      </w:r>
      <w:r>
        <w:rPr>
          <w:sz w:val="24"/>
        </w:rPr>
        <w:t xml:space="preserve"> </w:t>
      </w:r>
      <w:r>
        <w:rPr>
          <w:sz w:val="24"/>
        </w:rPr>
        <w:t>双方</w:t>
      </w:r>
      <w:r>
        <w:rPr>
          <w:sz w:val="24"/>
        </w:rPr>
        <w:t>共同遵守以下规定：</w:t>
      </w:r>
    </w:p>
    <w:p>
      <w:pPr>
        <w:ind w:firstLine="480"/>
        <w:jc w:val="both"/>
      </w:pPr>
      <w:r>
        <w:rPr>
          <w:sz w:val="24"/>
        </w:rPr>
        <w:t>（一）严格遵守国家关于市场准入、项目招标投标等有关法律、法规，相关政策，以及</w:t>
      </w:r>
      <w:r>
        <w:rPr>
          <w:sz w:val="24"/>
        </w:rPr>
        <w:t>廉洁自律</w:t>
      </w:r>
      <w:r>
        <w:rPr>
          <w:sz w:val="24"/>
        </w:rPr>
        <w:t>各项规定。</w:t>
      </w:r>
    </w:p>
    <w:p>
      <w:pPr>
        <w:ind w:firstLine="480"/>
        <w:jc w:val="both"/>
      </w:pPr>
      <w:r>
        <w:rPr>
          <w:sz w:val="24"/>
        </w:rPr>
        <w:t>（二）严格</w:t>
      </w:r>
      <w:r>
        <w:rPr>
          <w:sz w:val="24"/>
        </w:rPr>
        <w:t>按照双</w:t>
      </w:r>
      <w:r>
        <w:rPr>
          <w:sz w:val="24"/>
        </w:rPr>
        <w:t>方</w:t>
      </w:r>
      <w:r>
        <w:rPr>
          <w:sz w:val="24"/>
        </w:rPr>
        <w:t>签订的</w:t>
      </w:r>
      <w:r>
        <w:rPr>
          <w:sz w:val="24"/>
        </w:rPr>
        <w:t>合同文件</w:t>
      </w:r>
      <w:r>
        <w:rPr>
          <w:sz w:val="24"/>
        </w:rPr>
        <w:t>约定履行</w:t>
      </w:r>
      <w:r>
        <w:rPr>
          <w:sz w:val="24"/>
        </w:rPr>
        <w:t>。</w:t>
      </w:r>
    </w:p>
    <w:p>
      <w:pPr>
        <w:ind w:firstLine="480"/>
        <w:jc w:val="both"/>
      </w:pPr>
      <w:r>
        <w:rPr>
          <w:sz w:val="24"/>
        </w:rPr>
        <w:t>（三）业务活动必须坚持公开、公平、公正、诚信、透明的原则（项目涉及保密、法律法规另有规定者除外），不得为获取不正当的利益，损害国家、集体和对方利益，不得违反相关的规章制度。</w:t>
      </w:r>
    </w:p>
    <w:p>
      <w:pPr>
        <w:ind w:firstLine="480"/>
        <w:jc w:val="both"/>
      </w:pPr>
      <w:r>
        <w:rPr>
          <w:sz w:val="24"/>
        </w:rPr>
        <w:t>（四）</w:t>
      </w:r>
      <w:r>
        <w:rPr>
          <w:sz w:val="24"/>
        </w:rPr>
        <w:t>双方均有义务建立健全廉洁风险防控机制，</w:t>
      </w:r>
      <w:r>
        <w:rPr>
          <w:sz w:val="24"/>
        </w:rPr>
        <w:t>排查、梳理</w:t>
      </w:r>
      <w:r>
        <w:rPr>
          <w:sz w:val="24"/>
        </w:rPr>
        <w:t>项目</w:t>
      </w:r>
      <w:r>
        <w:rPr>
          <w:sz w:val="24"/>
        </w:rPr>
        <w:t>业务流程及关键工作岗位涉及的廉洁风险点，有针对性地逐项制定防控措施，加强对单位工作人员的廉洁教育，预警在先、防范在前，风险定到岗、制度建到位、责任落到人。发现对方在业务活动中有违规、违纪、违法行为的，应及时提醒对方</w:t>
      </w:r>
      <w:r>
        <w:rPr>
          <w:sz w:val="24"/>
        </w:rPr>
        <w:t>，</w:t>
      </w:r>
      <w:r>
        <w:rPr>
          <w:sz w:val="24"/>
        </w:rPr>
        <w:t>情节严重的，应向其上级主管部门或纪检监察</w:t>
      </w:r>
      <w:r>
        <w:rPr>
          <w:sz w:val="24"/>
        </w:rPr>
        <w:t>机关</w:t>
      </w:r>
      <w:r>
        <w:rPr>
          <w:sz w:val="24"/>
        </w:rPr>
        <w:t>、司法机关</w:t>
      </w:r>
      <w:r>
        <w:rPr>
          <w:sz w:val="24"/>
        </w:rPr>
        <w:t>等相关部门</w:t>
      </w:r>
      <w:r>
        <w:rPr>
          <w:sz w:val="24"/>
        </w:rPr>
        <w:t>举报。</w:t>
      </w:r>
    </w:p>
    <w:p>
      <w:pPr>
        <w:ind w:firstLine="480"/>
        <w:jc w:val="both"/>
      </w:pPr>
      <w:r>
        <w:rPr>
          <w:sz w:val="24"/>
        </w:rPr>
        <w:t>第三条</w:t>
      </w:r>
      <w:r>
        <w:rPr>
          <w:sz w:val="24"/>
        </w:rPr>
        <w:t xml:space="preserve"> </w:t>
      </w:r>
      <w:r>
        <w:rPr>
          <w:sz w:val="24"/>
        </w:rPr>
        <w:t>甲方及其</w:t>
      </w:r>
      <w:r>
        <w:rPr>
          <w:sz w:val="24"/>
        </w:rPr>
        <w:t>工作人员</w:t>
      </w:r>
      <w:r>
        <w:rPr>
          <w:sz w:val="24"/>
        </w:rPr>
        <w:t>不得利用从事项目或者职权为本人及亲属谋取不正当利益，包括但不限于下列行为：</w:t>
      </w:r>
    </w:p>
    <w:p>
      <w:pPr>
        <w:ind w:firstLine="480"/>
        <w:jc w:val="both"/>
      </w:pPr>
      <w:r>
        <w:rPr>
          <w:sz w:val="24"/>
        </w:rPr>
        <w:t>（一）索要</w:t>
      </w:r>
      <w:r>
        <w:rPr>
          <w:sz w:val="24"/>
        </w:rPr>
        <w:t>、</w:t>
      </w:r>
      <w:r>
        <w:rPr>
          <w:sz w:val="24"/>
        </w:rPr>
        <w:t>接受</w:t>
      </w:r>
      <w:r>
        <w:rPr>
          <w:sz w:val="24"/>
        </w:rPr>
        <w:t>或者以借之名占用</w:t>
      </w:r>
      <w:r>
        <w:rPr>
          <w:sz w:val="24"/>
        </w:rPr>
        <w:t>乙方</w:t>
      </w:r>
      <w:r>
        <w:rPr>
          <w:sz w:val="24"/>
        </w:rPr>
        <w:t>和</w:t>
      </w:r>
      <w:r>
        <w:rPr>
          <w:sz w:val="24"/>
        </w:rPr>
        <w:t>相关单位</w:t>
      </w:r>
      <w:r>
        <w:rPr>
          <w:sz w:val="24"/>
        </w:rPr>
        <w:t>的财物，包括但不限于</w:t>
      </w:r>
      <w:r>
        <w:rPr>
          <w:sz w:val="24"/>
        </w:rPr>
        <w:t>回 扣、</w:t>
      </w:r>
      <w:r>
        <w:rPr>
          <w:sz w:val="24"/>
        </w:rPr>
        <w:t>礼品</w:t>
      </w:r>
      <w:r>
        <w:rPr>
          <w:sz w:val="24"/>
        </w:rPr>
        <w:t>礼金、好处费、感谢费</w:t>
      </w:r>
      <w:r>
        <w:rPr>
          <w:sz w:val="24"/>
        </w:rPr>
        <w:t>、</w:t>
      </w:r>
      <w:r>
        <w:rPr>
          <w:sz w:val="24"/>
        </w:rPr>
        <w:t>有价证券</w:t>
      </w:r>
      <w:r>
        <w:rPr>
          <w:sz w:val="24"/>
        </w:rPr>
        <w:t>以及其他支付凭证、房产、车辆</w:t>
      </w:r>
      <w:r>
        <w:rPr>
          <w:sz w:val="24"/>
        </w:rPr>
        <w:t>、贵重物品等。</w:t>
      </w:r>
    </w:p>
    <w:p>
      <w:pPr>
        <w:ind w:firstLine="480"/>
        <w:jc w:val="both"/>
      </w:pPr>
      <w:r>
        <w:rPr>
          <w:sz w:val="24"/>
        </w:rPr>
        <w:t>（二）在</w:t>
      </w:r>
      <w:r>
        <w:rPr>
          <w:sz w:val="24"/>
        </w:rPr>
        <w:t>乙方</w:t>
      </w:r>
      <w:r>
        <w:rPr>
          <w:sz w:val="24"/>
        </w:rPr>
        <w:t>和</w:t>
      </w:r>
      <w:r>
        <w:rPr>
          <w:sz w:val="24"/>
        </w:rPr>
        <w:t>相关单位报销任何应由</w:t>
      </w:r>
      <w:r>
        <w:rPr>
          <w:sz w:val="24"/>
        </w:rPr>
        <w:t>甲方</w:t>
      </w:r>
      <w:r>
        <w:rPr>
          <w:sz w:val="24"/>
        </w:rPr>
        <w:t>或其工作人员的自行承担、支付</w:t>
      </w:r>
      <w:r>
        <w:rPr>
          <w:sz w:val="24"/>
        </w:rPr>
        <w:t>的费用。</w:t>
      </w:r>
    </w:p>
    <w:p>
      <w:pPr>
        <w:ind w:firstLine="480"/>
        <w:jc w:val="both"/>
      </w:pPr>
      <w:r>
        <w:rPr>
          <w:sz w:val="24"/>
        </w:rPr>
        <w:t>（三）要求</w:t>
      </w:r>
      <w:r>
        <w:rPr>
          <w:sz w:val="24"/>
        </w:rPr>
        <w:t>或</w:t>
      </w:r>
      <w:r>
        <w:rPr>
          <w:sz w:val="24"/>
        </w:rPr>
        <w:t>暗示</w:t>
      </w:r>
      <w:r>
        <w:rPr>
          <w:sz w:val="24"/>
        </w:rPr>
        <w:t>乙方</w:t>
      </w:r>
      <w:r>
        <w:rPr>
          <w:sz w:val="24"/>
        </w:rPr>
        <w:t>和相关单位为个人装修住房、婚丧嫁娶、配偶子女的工作安排以及出国（境）、旅游</w:t>
      </w:r>
      <w:r>
        <w:rPr>
          <w:sz w:val="24"/>
        </w:rPr>
        <w:t>、</w:t>
      </w:r>
      <w:r>
        <w:rPr>
          <w:sz w:val="24"/>
        </w:rPr>
        <w:t>留学、探亲、定居</w:t>
      </w:r>
      <w:r>
        <w:rPr>
          <w:sz w:val="24"/>
        </w:rPr>
        <w:t>等提供</w:t>
      </w:r>
      <w:r>
        <w:rPr>
          <w:sz w:val="24"/>
        </w:rPr>
        <w:t>资助或</w:t>
      </w:r>
      <w:r>
        <w:rPr>
          <w:sz w:val="24"/>
        </w:rPr>
        <w:t>方便。</w:t>
      </w:r>
    </w:p>
    <w:p>
      <w:pPr>
        <w:ind w:firstLine="480"/>
        <w:jc w:val="both"/>
      </w:pPr>
      <w:r>
        <w:rPr>
          <w:sz w:val="24"/>
        </w:rPr>
        <w:t>（四）</w:t>
      </w:r>
      <w:r>
        <w:rPr>
          <w:sz w:val="24"/>
        </w:rPr>
        <w:t>默许、纵容、授意亲属收受乙方和相关单位的财物，或从事与项目有关的材料和设备供应、项目分包，劳务等经济活动。</w:t>
      </w:r>
    </w:p>
    <w:p>
      <w:pPr>
        <w:ind w:firstLine="480"/>
        <w:jc w:val="both"/>
      </w:pPr>
      <w:r>
        <w:rPr>
          <w:sz w:val="24"/>
        </w:rPr>
        <w:t>（五）接受</w:t>
      </w:r>
      <w:r>
        <w:rPr>
          <w:sz w:val="24"/>
        </w:rPr>
        <w:t>乙方</w:t>
      </w:r>
      <w:r>
        <w:rPr>
          <w:sz w:val="24"/>
        </w:rPr>
        <w:t>和相关单位的宴请</w:t>
      </w:r>
      <w:r>
        <w:rPr>
          <w:sz w:val="24"/>
        </w:rPr>
        <w:t>（</w:t>
      </w:r>
      <w:r>
        <w:rPr>
          <w:sz w:val="24"/>
        </w:rPr>
        <w:t>工作餐除外）</w:t>
      </w:r>
      <w:r>
        <w:rPr>
          <w:sz w:val="24"/>
        </w:rPr>
        <w:t>和健身、娱乐等活动</w:t>
      </w:r>
      <w:r>
        <w:rPr>
          <w:sz w:val="24"/>
        </w:rPr>
        <w:t>安排</w:t>
      </w:r>
      <w:r>
        <w:rPr>
          <w:sz w:val="24"/>
        </w:rPr>
        <w:t>。</w:t>
      </w:r>
    </w:p>
    <w:p>
      <w:pPr>
        <w:ind w:firstLine="480"/>
        <w:jc w:val="both"/>
      </w:pPr>
      <w:r>
        <w:rPr>
          <w:sz w:val="24"/>
        </w:rPr>
        <w:t>（</w:t>
      </w:r>
      <w:r>
        <w:rPr>
          <w:sz w:val="24"/>
        </w:rPr>
        <w:t>六</w:t>
      </w:r>
      <w:r>
        <w:rPr>
          <w:sz w:val="24"/>
        </w:rPr>
        <w:t>）向</w:t>
      </w:r>
      <w:r>
        <w:rPr>
          <w:sz w:val="24"/>
        </w:rPr>
        <w:t>乙方</w:t>
      </w:r>
      <w:r>
        <w:rPr>
          <w:sz w:val="24"/>
        </w:rPr>
        <w:t>和有关单位推荐分包人，推销材料和设备，或</w:t>
      </w:r>
      <w:r>
        <w:rPr>
          <w:sz w:val="24"/>
        </w:rPr>
        <w:t>向</w:t>
      </w:r>
      <w:r>
        <w:rPr>
          <w:sz w:val="24"/>
        </w:rPr>
        <w:t>乙方</w:t>
      </w:r>
      <w:r>
        <w:rPr>
          <w:sz w:val="24"/>
        </w:rPr>
        <w:t>和相关单位推荐或要求</w:t>
      </w:r>
      <w:r>
        <w:rPr>
          <w:sz w:val="24"/>
        </w:rPr>
        <w:t>乙方</w:t>
      </w:r>
      <w:r>
        <w:rPr>
          <w:sz w:val="24"/>
        </w:rPr>
        <w:t>提供合同规定以外服务等。</w:t>
      </w:r>
    </w:p>
    <w:p>
      <w:pPr>
        <w:ind w:firstLine="420"/>
        <w:jc w:val="left"/>
      </w:pPr>
      <w:r>
        <w:rPr>
          <w:sz w:val="24"/>
        </w:rPr>
        <w:t xml:space="preserve">  </w:t>
      </w:r>
      <w:r>
        <w:rPr>
          <w:sz w:val="24"/>
        </w:rPr>
        <w:t>（七）其他利用项目或职权谋取不正当利益的行为。</w:t>
      </w:r>
    </w:p>
    <w:p>
      <w:pPr>
        <w:ind w:firstLine="480"/>
        <w:jc w:val="both"/>
      </w:pPr>
      <w:r>
        <w:rPr>
          <w:sz w:val="24"/>
        </w:rPr>
        <w:t>第四条</w:t>
      </w:r>
      <w:r>
        <w:rPr>
          <w:sz w:val="24"/>
        </w:rPr>
        <w:t>乙方及其工作人员不得通过商业贿赂等不正当手段谋取利益、包括但不限于下列行为</w:t>
      </w:r>
      <w:r>
        <w:rPr>
          <w:sz w:val="24"/>
        </w:rPr>
        <w:t>：</w:t>
      </w:r>
    </w:p>
    <w:p>
      <w:pPr>
        <w:ind w:firstLine="480"/>
        <w:jc w:val="both"/>
      </w:pPr>
      <w:r>
        <w:rPr>
          <w:sz w:val="24"/>
        </w:rPr>
        <w:t>（一）</w:t>
      </w:r>
      <w:r>
        <w:rPr>
          <w:sz w:val="24"/>
        </w:rPr>
        <w:t>同意或主动</w:t>
      </w:r>
      <w:r>
        <w:rPr>
          <w:sz w:val="24"/>
        </w:rPr>
        <w:t>向</w:t>
      </w:r>
      <w:r>
        <w:rPr>
          <w:sz w:val="24"/>
        </w:rPr>
        <w:t>甲方</w:t>
      </w:r>
      <w:r>
        <w:rPr>
          <w:sz w:val="24"/>
        </w:rPr>
        <w:t>、相关单位及其工作人员</w:t>
      </w:r>
      <w:r>
        <w:rPr>
          <w:sz w:val="24"/>
        </w:rPr>
        <w:t>提供第三条禁止性行为</w:t>
      </w:r>
      <w:r>
        <w:rPr>
          <w:sz w:val="24"/>
        </w:rPr>
        <w:t>。</w:t>
      </w:r>
    </w:p>
    <w:p>
      <w:pPr>
        <w:ind w:firstLine="480"/>
        <w:jc w:val="both"/>
      </w:pPr>
      <w:r>
        <w:rPr>
          <w:sz w:val="24"/>
        </w:rPr>
        <w:t>（二）</w:t>
      </w:r>
      <w:r>
        <w:rPr>
          <w:sz w:val="24"/>
        </w:rPr>
        <w:t>接受与项目相关单位及工作人员的商业贿赂</w:t>
      </w:r>
      <w:r>
        <w:rPr>
          <w:sz w:val="24"/>
        </w:rPr>
        <w:t>。</w:t>
      </w:r>
    </w:p>
    <w:p>
      <w:pPr>
        <w:ind w:firstLine="480"/>
        <w:jc w:val="both"/>
      </w:pPr>
      <w:r>
        <w:rPr>
          <w:sz w:val="24"/>
        </w:rPr>
        <w:t>（三）</w:t>
      </w:r>
      <w:r>
        <w:rPr>
          <w:sz w:val="24"/>
        </w:rPr>
        <w:t>接受分包单位、材料设备单位等单位及其工作人员的商业贿赂</w:t>
      </w:r>
      <w:r>
        <w:rPr>
          <w:sz w:val="24"/>
        </w:rPr>
        <w:t>。</w:t>
      </w:r>
    </w:p>
    <w:p>
      <w:pPr>
        <w:ind w:firstLine="480"/>
        <w:jc w:val="both"/>
      </w:pPr>
      <w:r>
        <w:rPr>
          <w:sz w:val="24"/>
        </w:rPr>
        <w:t>（四）</w:t>
      </w:r>
      <w:r>
        <w:rPr>
          <w:sz w:val="24"/>
        </w:rPr>
        <w:t>其他通过不正当手段谋取利益的行为。</w:t>
      </w:r>
    </w:p>
    <w:p>
      <w:pPr>
        <w:ind w:firstLine="480"/>
        <w:jc w:val="both"/>
      </w:pPr>
      <w:r>
        <w:rPr>
          <w:sz w:val="24"/>
        </w:rPr>
        <w:t>第五条</w:t>
      </w:r>
      <w:r>
        <w:rPr>
          <w:sz w:val="24"/>
        </w:rPr>
        <w:t xml:space="preserve"> </w:t>
      </w:r>
      <w:r>
        <w:rPr>
          <w:sz w:val="24"/>
        </w:rPr>
        <w:t>甲、乙双方及双方工作人员不得违规干预或插手招投标活动，禁止串通投标（围标）等不正当竞争行为。</w:t>
      </w:r>
    </w:p>
    <w:p>
      <w:pPr>
        <w:ind w:firstLine="480"/>
        <w:jc w:val="both"/>
      </w:pPr>
      <w:r>
        <w:rPr>
          <w:sz w:val="24"/>
        </w:rPr>
        <w:t>第六条</w:t>
      </w:r>
      <w:r>
        <w:rPr>
          <w:sz w:val="24"/>
        </w:rPr>
        <w:t xml:space="preserve"> </w:t>
      </w:r>
      <w:r>
        <w:rPr>
          <w:sz w:val="24"/>
        </w:rPr>
        <w:t>廉洁</w:t>
      </w:r>
      <w:r>
        <w:rPr>
          <w:sz w:val="24"/>
        </w:rPr>
        <w:t>违约责任</w:t>
      </w:r>
    </w:p>
    <w:p>
      <w:pPr>
        <w:ind w:firstLine="480"/>
        <w:jc w:val="both"/>
      </w:pPr>
      <w:r>
        <w:rPr>
          <w:sz w:val="24"/>
        </w:rPr>
        <w:t>（一）</w:t>
      </w:r>
      <w:r>
        <w:rPr>
          <w:sz w:val="24"/>
        </w:rPr>
        <w:t>甲方</w:t>
      </w:r>
      <w:r>
        <w:rPr>
          <w:sz w:val="24"/>
        </w:rPr>
        <w:t>及其</w:t>
      </w:r>
      <w:r>
        <w:rPr>
          <w:sz w:val="24"/>
        </w:rPr>
        <w:t>工作人员有违反本</w:t>
      </w:r>
      <w:r>
        <w:rPr>
          <w:sz w:val="24"/>
        </w:rPr>
        <w:t>合同</w:t>
      </w:r>
      <w:r>
        <w:rPr>
          <w:sz w:val="24"/>
        </w:rPr>
        <w:t>第</w:t>
      </w:r>
      <w:r>
        <w:rPr>
          <w:sz w:val="24"/>
        </w:rPr>
        <w:t>三、五</w:t>
      </w:r>
      <w:r>
        <w:rPr>
          <w:sz w:val="24"/>
        </w:rPr>
        <w:t>条责任行为的，</w:t>
      </w:r>
      <w:r>
        <w:rPr>
          <w:sz w:val="24"/>
        </w:rPr>
        <w:t>相关责任人应受到相应的</w:t>
      </w:r>
      <w:r>
        <w:rPr>
          <w:sz w:val="24"/>
        </w:rPr>
        <w:t>党纪、政纪处分或组织处理；涉嫌犯罪的，移交司法机关</w:t>
      </w:r>
      <w:r>
        <w:rPr>
          <w:sz w:val="24"/>
        </w:rPr>
        <w:t>依法处理</w:t>
      </w:r>
      <w:r>
        <w:rPr>
          <w:sz w:val="24"/>
        </w:rPr>
        <w:t>；给</w:t>
      </w:r>
      <w:r>
        <w:rPr>
          <w:sz w:val="24"/>
        </w:rPr>
        <w:t>乙方</w:t>
      </w:r>
      <w:r>
        <w:rPr>
          <w:sz w:val="24"/>
        </w:rPr>
        <w:t>造成经济损失的，应</w:t>
      </w:r>
      <w:r>
        <w:rPr>
          <w:sz w:val="24"/>
        </w:rPr>
        <w:t>承担相应的</w:t>
      </w:r>
      <w:r>
        <w:rPr>
          <w:sz w:val="24"/>
        </w:rPr>
        <w:t>赔偿</w:t>
      </w:r>
      <w:r>
        <w:rPr>
          <w:sz w:val="24"/>
        </w:rPr>
        <w:t>责任</w:t>
      </w:r>
      <w:r>
        <w:rPr>
          <w:sz w:val="24"/>
        </w:rPr>
        <w:t>。</w:t>
      </w:r>
    </w:p>
    <w:p>
      <w:pPr>
        <w:ind w:firstLine="480"/>
        <w:jc w:val="both"/>
      </w:pPr>
      <w:r>
        <w:rPr>
          <w:sz w:val="24"/>
        </w:rPr>
        <w:t>（二）</w:t>
      </w:r>
      <w:r>
        <w:rPr>
          <w:sz w:val="24"/>
        </w:rPr>
        <w:t>乙方</w:t>
      </w:r>
      <w:r>
        <w:rPr>
          <w:sz w:val="24"/>
        </w:rPr>
        <w:t>及其</w:t>
      </w:r>
      <w:r>
        <w:rPr>
          <w:sz w:val="24"/>
        </w:rPr>
        <w:t>工作人员有违反本</w:t>
      </w:r>
      <w:r>
        <w:rPr>
          <w:sz w:val="24"/>
        </w:rPr>
        <w:t>合同</w:t>
      </w:r>
      <w:r>
        <w:rPr>
          <w:sz w:val="24"/>
        </w:rPr>
        <w:t>第</w:t>
      </w:r>
      <w:r>
        <w:rPr>
          <w:sz w:val="24"/>
        </w:rPr>
        <w:t>四、五</w:t>
      </w:r>
      <w:r>
        <w:rPr>
          <w:sz w:val="24"/>
        </w:rPr>
        <w:t>条责任行为的，</w:t>
      </w:r>
      <w:r>
        <w:rPr>
          <w:sz w:val="24"/>
        </w:rPr>
        <w:t>按照管理权限，依据有关法律法规和规定给予党纪、政纪处分或组织处理</w:t>
      </w:r>
      <w:r>
        <w:rPr>
          <w:sz w:val="24"/>
        </w:rPr>
        <w:t>；</w:t>
      </w:r>
      <w:r>
        <w:rPr>
          <w:sz w:val="24"/>
        </w:rPr>
        <w:t>涉嫌犯罪的，移交司法机关追究刑事责任；</w:t>
      </w:r>
      <w:r>
        <w:rPr>
          <w:sz w:val="24"/>
        </w:rPr>
        <w:t>给</w:t>
      </w:r>
      <w:r>
        <w:rPr>
          <w:sz w:val="24"/>
        </w:rPr>
        <w:t>甲方</w:t>
      </w:r>
      <w:r>
        <w:rPr>
          <w:sz w:val="24"/>
        </w:rPr>
        <w:t>造成经济损失的，还应承担相应的赔偿责任。</w:t>
      </w:r>
    </w:p>
    <w:p>
      <w:pPr>
        <w:ind w:firstLine="480"/>
        <w:jc w:val="both"/>
      </w:pPr>
      <w:r>
        <w:rPr>
          <w:sz w:val="24"/>
        </w:rPr>
        <w:t>同时，</w:t>
      </w:r>
      <w:r>
        <w:rPr>
          <w:sz w:val="24"/>
        </w:rPr>
        <w:t>甲方</w:t>
      </w:r>
      <w:r>
        <w:rPr>
          <w:sz w:val="24"/>
        </w:rPr>
        <w:t>有权：（</w:t>
      </w:r>
      <w:r>
        <w:rPr>
          <w:sz w:val="24"/>
        </w:rPr>
        <w:t>1）如</w:t>
      </w:r>
      <w:r>
        <w:rPr>
          <w:sz w:val="24"/>
        </w:rPr>
        <w:t>乙方</w:t>
      </w:r>
      <w:r>
        <w:rPr>
          <w:sz w:val="24"/>
        </w:rPr>
        <w:t>的行为严重影响合同的履行或者严重干扰市场公平竞争营商环境，可单方解除主合同；（</w:t>
      </w:r>
      <w:r>
        <w:rPr>
          <w:sz w:val="24"/>
        </w:rPr>
        <w:t>2）将</w:t>
      </w:r>
      <w:r>
        <w:rPr>
          <w:sz w:val="24"/>
        </w:rPr>
        <w:t>乙方</w:t>
      </w:r>
      <w:r>
        <w:rPr>
          <w:sz w:val="24"/>
        </w:rPr>
        <w:t>的履约评价评为不合格，并</w:t>
      </w:r>
      <w:r>
        <w:rPr>
          <w:sz w:val="24"/>
        </w:rPr>
        <w:t>纳入项目招</w:t>
      </w:r>
      <w:r>
        <w:rPr>
          <w:sz w:val="24"/>
        </w:rPr>
        <w:t>投标</w:t>
      </w:r>
      <w:r>
        <w:rPr>
          <w:sz w:val="24"/>
        </w:rPr>
        <w:t>相关活动失信名单</w:t>
      </w:r>
      <w:r>
        <w:rPr>
          <w:sz w:val="24"/>
        </w:rPr>
        <w:t>；</w:t>
      </w:r>
      <w:r>
        <w:rPr>
          <w:sz w:val="24"/>
        </w:rPr>
        <w:t>（</w:t>
      </w:r>
      <w:r>
        <w:rPr>
          <w:sz w:val="24"/>
        </w:rPr>
        <w:t>3）将有关情况报相关主管部门记录，作为企业诚信评分考核，建议给予通报并向社会进行公示。</w:t>
      </w:r>
    </w:p>
    <w:p>
      <w:pPr>
        <w:ind w:firstLine="480"/>
        <w:jc w:val="both"/>
      </w:pPr>
      <w:r>
        <w:rPr>
          <w:sz w:val="24"/>
        </w:rPr>
        <w:t>第七条</w:t>
      </w:r>
      <w:r>
        <w:rPr>
          <w:sz w:val="24"/>
        </w:rPr>
        <w:t xml:space="preserve"> </w:t>
      </w:r>
      <w:r>
        <w:rPr>
          <w:sz w:val="24"/>
        </w:rPr>
        <w:t>监督举报</w:t>
      </w:r>
    </w:p>
    <w:p>
      <w:pPr>
        <w:ind w:firstLine="480"/>
        <w:jc w:val="both"/>
      </w:pPr>
      <w:r>
        <w:rPr>
          <w:sz w:val="24"/>
        </w:rPr>
        <w:t>甲</w:t>
      </w:r>
      <w:r>
        <w:rPr>
          <w:sz w:val="24"/>
        </w:rPr>
        <w:t>乙双</w:t>
      </w:r>
      <w:r>
        <w:rPr>
          <w:sz w:val="24"/>
        </w:rPr>
        <w:t>方</w:t>
      </w:r>
      <w:r>
        <w:rPr>
          <w:sz w:val="24"/>
        </w:rPr>
        <w:t>均有监督举报的权利和义务，发现对方有违反本合同的行为，可向</w:t>
      </w:r>
      <w:r>
        <w:rPr>
          <w:sz w:val="24"/>
        </w:rPr>
        <w:t>有权受理单位进行</w:t>
      </w:r>
      <w:r>
        <w:rPr>
          <w:sz w:val="24"/>
        </w:rPr>
        <w:t>举报。</w:t>
      </w:r>
    </w:p>
    <w:p>
      <w:pPr>
        <w:ind w:firstLine="480"/>
        <w:jc w:val="both"/>
      </w:pPr>
      <w:r>
        <w:rPr>
          <w:sz w:val="24"/>
        </w:rPr>
        <w:t>第八条</w:t>
      </w:r>
      <w:r>
        <w:rPr>
          <w:sz w:val="24"/>
        </w:rPr>
        <w:t xml:space="preserve"> </w:t>
      </w:r>
      <w:r>
        <w:rPr>
          <w:sz w:val="24"/>
        </w:rPr>
        <w:t>其他约定</w:t>
      </w:r>
    </w:p>
    <w:p>
      <w:pPr>
        <w:ind w:firstLine="480"/>
        <w:jc w:val="both"/>
      </w:pPr>
      <w:r>
        <w:rPr>
          <w:sz w:val="24"/>
        </w:rPr>
        <w:t>本合同作为双方所签署主合同的附件，与主合同具有同等法律效力</w:t>
      </w:r>
      <w:r>
        <w:rPr>
          <w:sz w:val="24"/>
        </w:rPr>
        <w:t>，</w:t>
      </w:r>
      <w:r>
        <w:rPr>
          <w:sz w:val="24"/>
        </w:rPr>
        <w:t>有效期与</w:t>
      </w:r>
      <w:r>
        <w:rPr>
          <w:sz w:val="24"/>
        </w:rPr>
        <w:t>主合同</w:t>
      </w:r>
      <w:r>
        <w:rPr>
          <w:sz w:val="24"/>
        </w:rPr>
        <w:t>一致</w:t>
      </w:r>
      <w:r>
        <w:rPr>
          <w:sz w:val="24"/>
        </w:rPr>
        <w:t>。对项目涉及的廉洁问题，不受项目验收、工作人员离职或退休等原因影响，</w:t>
      </w:r>
      <w:r>
        <w:rPr>
          <w:sz w:val="24"/>
        </w:rPr>
        <w:t>甲方</w:t>
      </w:r>
      <w:r>
        <w:rPr>
          <w:sz w:val="24"/>
        </w:rPr>
        <w:t>、</w:t>
      </w:r>
      <w:r>
        <w:rPr>
          <w:sz w:val="24"/>
        </w:rPr>
        <w:t>乙方</w:t>
      </w:r>
      <w:r>
        <w:rPr>
          <w:sz w:val="24"/>
        </w:rPr>
        <w:t>仍应按合同约定承担相应的违约责任。</w:t>
      </w:r>
    </w:p>
    <w:p>
      <w:pPr>
        <w:ind w:firstLine="480"/>
        <w:jc w:val="left"/>
      </w:pPr>
      <w:r>
        <w:rPr>
          <w:sz w:val="24"/>
        </w:rPr>
        <w:t>本合同</w:t>
      </w:r>
      <w:r>
        <w:rPr>
          <w:sz w:val="24"/>
        </w:rPr>
        <w:t>正本一式</w:t>
      </w:r>
      <w:r>
        <w:rPr>
          <w:sz w:val="21"/>
          <w:u w:val="single"/>
        </w:rPr>
        <w:t xml:space="preserve">   </w:t>
      </w:r>
      <w:r>
        <w:rPr>
          <w:sz w:val="24"/>
        </w:rPr>
        <w:t>份，其中</w:t>
      </w:r>
      <w:r>
        <w:rPr>
          <w:sz w:val="24"/>
        </w:rPr>
        <w:t>甲方</w:t>
      </w:r>
      <w:r>
        <w:rPr>
          <w:sz w:val="24"/>
        </w:rPr>
        <w:t>执</w:t>
      </w:r>
      <w:r>
        <w:rPr>
          <w:sz w:val="21"/>
          <w:u w:val="single"/>
        </w:rPr>
        <w:t xml:space="preserve">   </w:t>
      </w:r>
      <w:r>
        <w:rPr>
          <w:sz w:val="24"/>
        </w:rPr>
        <w:t>份；</w:t>
      </w:r>
      <w:r>
        <w:rPr>
          <w:sz w:val="24"/>
        </w:rPr>
        <w:t>乙方</w:t>
      </w:r>
      <w:r>
        <w:rPr>
          <w:sz w:val="24"/>
        </w:rPr>
        <w:t>执</w:t>
      </w:r>
      <w:r>
        <w:rPr>
          <w:sz w:val="21"/>
          <w:u w:val="single"/>
        </w:rPr>
        <w:t xml:space="preserve">   </w:t>
      </w:r>
      <w:r>
        <w:rPr>
          <w:sz w:val="24"/>
        </w:rPr>
        <w:t>份。本合同副本一式</w:t>
      </w:r>
      <w:r>
        <w:rPr>
          <w:sz w:val="21"/>
          <w:u w:val="single"/>
        </w:rPr>
        <w:t xml:space="preserve">   </w:t>
      </w:r>
      <w:r>
        <w:rPr>
          <w:sz w:val="24"/>
        </w:rPr>
        <w:t>份，其中</w:t>
      </w:r>
      <w:r>
        <w:rPr>
          <w:sz w:val="24"/>
        </w:rPr>
        <w:t>甲方</w:t>
      </w:r>
      <w:r>
        <w:rPr>
          <w:sz w:val="24"/>
        </w:rPr>
        <w:t>执</w:t>
      </w:r>
      <w:r>
        <w:rPr>
          <w:sz w:val="21"/>
          <w:u w:val="single"/>
        </w:rPr>
        <w:t xml:space="preserve">   </w:t>
      </w:r>
      <w:r>
        <w:rPr>
          <w:sz w:val="24"/>
        </w:rPr>
        <w:t>份；</w:t>
      </w:r>
      <w:r>
        <w:rPr>
          <w:sz w:val="24"/>
        </w:rPr>
        <w:t>乙方</w:t>
      </w:r>
      <w:r>
        <w:rPr>
          <w:sz w:val="24"/>
        </w:rPr>
        <w:t>执</w:t>
      </w:r>
      <w:r>
        <w:rPr>
          <w:sz w:val="21"/>
          <w:u w:val="single"/>
        </w:rPr>
        <w:t xml:space="preserve">   </w:t>
      </w:r>
      <w:r>
        <w:rPr>
          <w:sz w:val="24"/>
        </w:rPr>
        <w:t>份</w:t>
      </w:r>
      <w:r>
        <w:rPr>
          <w:sz w:val="24"/>
        </w:rPr>
        <w:t>，经双方法定代表人或授权代表签字或签章并加盖单位公章之日起生效</w:t>
      </w:r>
      <w:r>
        <w:rPr>
          <w:sz w:val="24"/>
        </w:rPr>
        <w:t>。</w:t>
      </w:r>
    </w:p>
    <w:p>
      <w:pPr>
        <w:jc w:val="center"/>
      </w:pPr>
    </w:p>
    <w:p>
      <w:pPr>
        <w:jc w:val="both"/>
      </w:pPr>
      <w:r>
        <w:rPr>
          <w:sz w:val="24"/>
        </w:rPr>
        <w:t>甲方</w:t>
      </w:r>
      <w:r>
        <w:rPr>
          <w:sz w:val="24"/>
        </w:rPr>
        <w:t>（公章）：广州市南沙</w:t>
      </w:r>
      <w:r>
        <w:rPr>
          <w:sz w:val="24"/>
        </w:rPr>
        <w:t xml:space="preserve">          </w:t>
      </w:r>
      <w:r>
        <w:rPr>
          <w:sz w:val="24"/>
        </w:rPr>
        <w:t>乙方</w:t>
      </w:r>
      <w:r>
        <w:rPr>
          <w:sz w:val="24"/>
        </w:rPr>
        <w:t>（公章）：</w:t>
      </w:r>
    </w:p>
    <w:p>
      <w:pPr>
        <w:jc w:val="both"/>
      </w:pPr>
      <w:r>
        <w:rPr>
          <w:sz w:val="24"/>
        </w:rPr>
        <w:t>新区明珠湾开发建设管理局</w:t>
      </w:r>
    </w:p>
    <w:p>
      <w:pPr>
        <w:ind w:firstLine="420"/>
        <w:jc w:val="both"/>
      </w:pPr>
    </w:p>
    <w:p>
      <w:pPr>
        <w:jc w:val="both"/>
      </w:pPr>
      <w:r>
        <w:rPr>
          <w:sz w:val="24"/>
        </w:rPr>
        <w:t>法定代表人</w:t>
      </w:r>
      <w:r>
        <w:rPr>
          <w:sz w:val="24"/>
        </w:rPr>
        <w:t>/授权代表</w:t>
      </w:r>
      <w:r>
        <w:rPr>
          <w:sz w:val="24"/>
        </w:rPr>
        <w:t xml:space="preserve">               </w:t>
      </w:r>
      <w:r>
        <w:rPr>
          <w:sz w:val="24"/>
        </w:rPr>
        <w:t>法定代表人</w:t>
      </w:r>
      <w:r>
        <w:rPr>
          <w:sz w:val="24"/>
        </w:rPr>
        <w:t>/授权代表</w:t>
      </w:r>
    </w:p>
    <w:p>
      <w:pPr>
        <w:jc w:val="both"/>
      </w:pPr>
      <w:r>
        <w:rPr>
          <w:sz w:val="24"/>
        </w:rPr>
        <w:t>（签字）：</w:t>
      </w:r>
      <w:r>
        <w:rPr>
          <w:sz w:val="24"/>
        </w:rPr>
        <w:t xml:space="preserve">                        </w:t>
      </w:r>
      <w:r>
        <w:rPr>
          <w:sz w:val="24"/>
        </w:rPr>
        <w:t>（签字）：</w:t>
      </w:r>
    </w:p>
    <w:p>
      <w:pPr>
        <w:jc w:val="left"/>
      </w:pPr>
      <w:r>
        <w:rPr>
          <w:sz w:val="24"/>
        </w:rPr>
        <w:t>签订日期：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签订日期：</w:t>
      </w:r>
      <w:r>
        <w:rPr>
          <w:sz w:val="24"/>
        </w:rPr>
        <w:t xml:space="preserve">  </w:t>
      </w:r>
      <w:r>
        <w:rPr>
          <w:sz w:val="24"/>
        </w:rPr>
        <w:t>年</w:t>
      </w:r>
      <w:r>
        <w:rPr>
          <w:sz w:val="24"/>
        </w:rPr>
        <w:t xml:space="preserve">  </w:t>
      </w:r>
      <w:r>
        <w:rPr>
          <w:sz w:val="24"/>
        </w:rPr>
        <w:t>月</w:t>
      </w:r>
      <w:r>
        <w:rPr>
          <w:sz w:val="24"/>
        </w:rPr>
        <w:t xml:space="preserve">  </w:t>
      </w:r>
      <w:r>
        <w:rPr>
          <w:sz w:val="24"/>
        </w:rPr>
        <w:t>日</w:t>
      </w:r>
    </w:p>
    <w:p>
      <w:pPr>
        <w:jc w:val="both"/>
      </w:pPr>
    </w:p>
    <w:p/>
    <w:p>
      <w:r>
        <w:rPr>
          <w:sz w:val="24"/>
        </w:rPr>
        <w:t>附件</w:t>
      </w:r>
      <w:r>
        <w:rPr>
          <w:sz w:val="24"/>
        </w:rPr>
        <w:t>2</w:t>
      </w:r>
    </w:p>
    <w:p>
      <w:r>
        <w:rPr/>
        <w:t xml:space="preserve"> </w:t>
      </w:r>
    </w:p>
    <w:p>
      <w:pPr>
        <w:jc w:val="center"/>
      </w:pPr>
      <w:r>
        <w:rPr>
          <w:sz w:val="24"/>
        </w:rPr>
        <w:t>本项目乙方全体相关工作人员一览表</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639"/>
        <w:gridCol w:w="994"/>
        <w:gridCol w:w="1008"/>
        <w:gridCol w:w="1448"/>
        <w:gridCol w:w="1207"/>
        <w:gridCol w:w="625"/>
        <w:gridCol w:w="852"/>
        <w:gridCol w:w="1533"/>
      </w:tblGrid>
      <w:tr>
        <w:tc>
          <w:tcPr>
            <w:tcW w:type="dxa" w:w="639"/>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994"/>
            <w:tcBorders>
              <w:top w:val="single" w:color="000000" w:sz="4"/>
              <w:left w:val="single" w:color="000000" w:sz="4"/>
              <w:bottom w:val="single" w:color="000000" w:sz="4"/>
              <w:right w:val="single" w:color="000000" w:sz="4"/>
            </w:tcBorders>
            <w:vAlign w:val="top"/>
          </w:tcPr>
          <w:p>
            <w:pPr>
              <w:jc w:val="center"/>
            </w:pPr>
            <w:r>
              <w:rPr>
                <w:sz w:val="24"/>
              </w:rPr>
              <w:t>项目职责</w:t>
            </w:r>
          </w:p>
        </w:tc>
        <w:tc>
          <w:tcPr>
            <w:tcW w:type="dxa" w:w="1008"/>
            <w:tcBorders>
              <w:top w:val="single" w:color="000000" w:sz="4"/>
              <w:left w:val="single" w:color="000000" w:sz="4"/>
              <w:bottom w:val="single" w:color="000000" w:sz="4"/>
              <w:right w:val="single" w:color="000000" w:sz="4"/>
            </w:tcBorders>
            <w:vAlign w:val="top"/>
          </w:tcPr>
          <w:p>
            <w:pPr>
              <w:jc w:val="center"/>
            </w:pPr>
            <w:r>
              <w:rPr>
                <w:sz w:val="24"/>
              </w:rPr>
              <w:t>姓名</w:t>
            </w:r>
          </w:p>
        </w:tc>
        <w:tc>
          <w:tcPr>
            <w:tcW w:type="dxa" w:w="1448"/>
            <w:tcBorders>
              <w:top w:val="single" w:color="000000" w:sz="4"/>
              <w:left w:val="single" w:color="000000" w:sz="4"/>
              <w:bottom w:val="single" w:color="000000" w:sz="4"/>
              <w:right w:val="single" w:color="000000" w:sz="4"/>
            </w:tcBorders>
            <w:vAlign w:val="top"/>
          </w:tcPr>
          <w:p>
            <w:pPr>
              <w:jc w:val="center"/>
            </w:pPr>
            <w:r>
              <w:rPr>
                <w:sz w:val="24"/>
              </w:rPr>
              <w:t>单位</w:t>
            </w:r>
          </w:p>
        </w:tc>
        <w:tc>
          <w:tcPr>
            <w:tcW w:type="dxa" w:w="1207"/>
            <w:tcBorders>
              <w:top w:val="single" w:color="000000" w:sz="4"/>
              <w:left w:val="single" w:color="000000" w:sz="4"/>
              <w:bottom w:val="single" w:color="000000" w:sz="4"/>
              <w:right w:val="single" w:color="000000" w:sz="4"/>
            </w:tcBorders>
            <w:vAlign w:val="top"/>
          </w:tcPr>
          <w:p>
            <w:pPr>
              <w:jc w:val="center"/>
            </w:pPr>
            <w:r>
              <w:rPr>
                <w:sz w:val="24"/>
              </w:rPr>
              <w:t>职务、执业资格、专业职称</w:t>
            </w:r>
          </w:p>
        </w:tc>
        <w:tc>
          <w:tcPr>
            <w:tcW w:type="dxa" w:w="625"/>
            <w:tcBorders>
              <w:top w:val="single" w:color="000000" w:sz="4"/>
              <w:left w:val="single" w:color="000000" w:sz="4"/>
              <w:bottom w:val="single" w:color="000000" w:sz="4"/>
              <w:right w:val="single" w:color="000000" w:sz="4"/>
            </w:tcBorders>
            <w:vAlign w:val="top"/>
          </w:tcPr>
          <w:p>
            <w:pPr>
              <w:jc w:val="center"/>
            </w:pPr>
            <w:r>
              <w:rPr>
                <w:sz w:val="24"/>
              </w:rPr>
              <w:t>学历</w:t>
            </w:r>
          </w:p>
        </w:tc>
        <w:tc>
          <w:tcPr>
            <w:tcW w:type="dxa" w:w="852"/>
            <w:tcBorders>
              <w:top w:val="single" w:color="000000" w:sz="4"/>
              <w:left w:val="single" w:color="000000" w:sz="4"/>
              <w:bottom w:val="single" w:color="000000" w:sz="4"/>
              <w:right w:val="single" w:color="000000" w:sz="4"/>
            </w:tcBorders>
            <w:vAlign w:val="top"/>
          </w:tcPr>
          <w:p>
            <w:pPr>
              <w:jc w:val="center"/>
            </w:pPr>
            <w:r>
              <w:rPr>
                <w:sz w:val="24"/>
              </w:rPr>
              <w:t>工作年限</w:t>
            </w:r>
          </w:p>
        </w:tc>
        <w:tc>
          <w:tcPr>
            <w:tcW w:type="dxa" w:w="1533"/>
            <w:tcBorders>
              <w:top w:val="single" w:color="000000" w:sz="4"/>
              <w:left w:val="single" w:color="000000" w:sz="4"/>
              <w:bottom w:val="single" w:color="000000" w:sz="4"/>
              <w:right w:val="single" w:color="000000" w:sz="4"/>
            </w:tcBorders>
            <w:vAlign w:val="top"/>
          </w:tcPr>
          <w:p>
            <w:pPr>
              <w:jc w:val="center"/>
            </w:pPr>
            <w:r>
              <w:rPr>
                <w:sz w:val="24"/>
              </w:rPr>
              <w:t>联系方式</w:t>
            </w:r>
          </w:p>
        </w:tc>
      </w:tr>
      <w:tr>
        <w:tc>
          <w:tcPr>
            <w:tcW w:type="dxa" w:w="639"/>
            <w:tcBorders>
              <w:top w:val="none" w:color="000000" w:sz="4"/>
              <w:left w:val="single" w:color="000000" w:sz="4"/>
              <w:bottom w:val="single" w:color="000000" w:sz="4"/>
              <w:right w:val="single" w:color="000000" w:sz="4"/>
            </w:tcBorders>
            <w:vAlign w:val="top"/>
          </w:tcPr>
          <w:p>
            <w:pPr>
              <w:numPr>
                <w:ilvl w:val="0"/>
                <w:numId w:val="1"/>
              </w:numPr>
              <w:jc w:val="center"/>
            </w:pPr>
          </w:p>
        </w:tc>
        <w:tc>
          <w:tcPr>
            <w:tcW w:type="dxa" w:w="994"/>
            <w:tcBorders>
              <w:top w:val="none" w:color="000000" w:sz="4"/>
              <w:left w:val="single" w:color="000000" w:sz="4"/>
              <w:bottom w:val="single" w:color="000000" w:sz="4"/>
              <w:right w:val="single" w:color="000000" w:sz="4"/>
            </w:tcBorders>
            <w:vAlign w:val="top"/>
          </w:tcPr>
          <w:p>
            <w:pPr>
              <w:jc w:val="center"/>
            </w:pPr>
          </w:p>
        </w:tc>
        <w:tc>
          <w:tcPr>
            <w:tcW w:type="dxa" w:w="1008"/>
            <w:tcBorders>
              <w:top w:val="none" w:color="000000" w:sz="4"/>
              <w:left w:val="single" w:color="000000" w:sz="4"/>
              <w:bottom w:val="single" w:color="000000" w:sz="4"/>
              <w:right w:val="single" w:color="000000" w:sz="4"/>
            </w:tcBorders>
            <w:vAlign w:val="top"/>
          </w:tcPr>
          <w:p>
            <w:pPr>
              <w:jc w:val="center"/>
            </w:pPr>
          </w:p>
        </w:tc>
        <w:tc>
          <w:tcPr>
            <w:tcW w:type="dxa" w:w="1448"/>
            <w:tcBorders>
              <w:top w:val="none" w:color="000000" w:sz="4"/>
              <w:left w:val="single" w:color="000000" w:sz="4"/>
              <w:bottom w:val="single" w:color="000000" w:sz="4"/>
              <w:right w:val="single" w:color="000000" w:sz="4"/>
            </w:tcBorders>
            <w:vAlign w:val="top"/>
          </w:tcPr>
          <w:p>
            <w:pPr>
              <w:jc w:val="center"/>
            </w:pPr>
          </w:p>
        </w:tc>
        <w:tc>
          <w:tcPr>
            <w:tcW w:type="dxa" w:w="1207"/>
            <w:tcBorders>
              <w:top w:val="none" w:color="000000" w:sz="4"/>
              <w:left w:val="single" w:color="000000" w:sz="4"/>
              <w:bottom w:val="single" w:color="000000" w:sz="4"/>
              <w:right w:val="single" w:color="000000" w:sz="4"/>
            </w:tcBorders>
            <w:vAlign w:val="top"/>
          </w:tcPr>
          <w:p>
            <w:pPr>
              <w:jc w:val="center"/>
            </w:pPr>
          </w:p>
        </w:tc>
        <w:tc>
          <w:tcPr>
            <w:tcW w:type="dxa" w:w="625"/>
            <w:tcBorders>
              <w:top w:val="none" w:color="000000" w:sz="4"/>
              <w:left w:val="single" w:color="000000" w:sz="4"/>
              <w:bottom w:val="single" w:color="000000" w:sz="4"/>
              <w:right w:val="single" w:color="000000" w:sz="4"/>
            </w:tcBorders>
            <w:vAlign w:val="top"/>
          </w:tcPr>
          <w:p>
            <w:pPr>
              <w:jc w:val="center"/>
            </w:pPr>
          </w:p>
        </w:tc>
        <w:tc>
          <w:tcPr>
            <w:tcW w:type="dxa" w:w="852"/>
            <w:tcBorders>
              <w:top w:val="none" w:color="000000" w:sz="4"/>
              <w:left w:val="single" w:color="000000" w:sz="4"/>
              <w:bottom w:val="single" w:color="000000" w:sz="4"/>
              <w:right w:val="single" w:color="000000" w:sz="4"/>
            </w:tcBorders>
            <w:vAlign w:val="top"/>
          </w:tcPr>
          <w:p>
            <w:pPr>
              <w:jc w:val="center"/>
            </w:pPr>
          </w:p>
        </w:tc>
        <w:tc>
          <w:tcPr>
            <w:tcW w:type="dxa" w:w="1533"/>
            <w:tcBorders>
              <w:top w:val="none" w:color="000000" w:sz="4"/>
              <w:left w:val="single" w:color="000000" w:sz="4"/>
              <w:bottom w:val="single" w:color="000000" w:sz="4"/>
              <w:right w:val="single" w:color="000000" w:sz="4"/>
            </w:tcBorders>
            <w:vAlign w:val="top"/>
          </w:tcPr>
          <w:p>
            <w:pPr>
              <w:jc w:val="center"/>
            </w:pPr>
          </w:p>
        </w:tc>
      </w:tr>
      <w:tr>
        <w:tc>
          <w:tcPr>
            <w:tcW w:type="dxa" w:w="639"/>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994"/>
            <w:tcBorders>
              <w:top w:val="none" w:color="000000" w:sz="4"/>
              <w:left w:val="single" w:color="000000" w:sz="4"/>
              <w:bottom w:val="single" w:color="000000" w:sz="4"/>
              <w:right w:val="single" w:color="000000" w:sz="4"/>
            </w:tcBorders>
            <w:vAlign w:val="top"/>
          </w:tcPr>
          <w:p>
            <w:pPr>
              <w:jc w:val="center"/>
            </w:pPr>
          </w:p>
        </w:tc>
        <w:tc>
          <w:tcPr>
            <w:tcW w:type="dxa" w:w="1008"/>
            <w:tcBorders>
              <w:top w:val="none" w:color="000000" w:sz="4"/>
              <w:left w:val="single" w:color="000000" w:sz="4"/>
              <w:bottom w:val="single" w:color="000000" w:sz="4"/>
              <w:right w:val="single" w:color="000000" w:sz="4"/>
            </w:tcBorders>
            <w:vAlign w:val="top"/>
          </w:tcPr>
          <w:p>
            <w:pPr>
              <w:jc w:val="center"/>
            </w:pPr>
          </w:p>
        </w:tc>
        <w:tc>
          <w:tcPr>
            <w:tcW w:type="dxa" w:w="1448"/>
            <w:tcBorders>
              <w:top w:val="none" w:color="000000" w:sz="4"/>
              <w:left w:val="single" w:color="000000" w:sz="4"/>
              <w:bottom w:val="single" w:color="000000" w:sz="4"/>
              <w:right w:val="single" w:color="000000" w:sz="4"/>
            </w:tcBorders>
            <w:vAlign w:val="top"/>
          </w:tcPr>
          <w:p>
            <w:pPr>
              <w:jc w:val="center"/>
            </w:pPr>
          </w:p>
        </w:tc>
        <w:tc>
          <w:tcPr>
            <w:tcW w:type="dxa" w:w="1207"/>
            <w:tcBorders>
              <w:top w:val="none" w:color="000000" w:sz="4"/>
              <w:left w:val="single" w:color="000000" w:sz="4"/>
              <w:bottom w:val="single" w:color="000000" w:sz="4"/>
              <w:right w:val="single" w:color="000000" w:sz="4"/>
            </w:tcBorders>
            <w:vAlign w:val="top"/>
          </w:tcPr>
          <w:p>
            <w:pPr>
              <w:jc w:val="center"/>
            </w:pPr>
          </w:p>
        </w:tc>
        <w:tc>
          <w:tcPr>
            <w:tcW w:type="dxa" w:w="625"/>
            <w:tcBorders>
              <w:top w:val="none" w:color="000000" w:sz="4"/>
              <w:left w:val="single" w:color="000000" w:sz="4"/>
              <w:bottom w:val="single" w:color="000000" w:sz="4"/>
              <w:right w:val="single" w:color="000000" w:sz="4"/>
            </w:tcBorders>
            <w:vAlign w:val="top"/>
          </w:tcPr>
          <w:p>
            <w:pPr>
              <w:jc w:val="center"/>
            </w:pPr>
          </w:p>
        </w:tc>
        <w:tc>
          <w:tcPr>
            <w:tcW w:type="dxa" w:w="852"/>
            <w:tcBorders>
              <w:top w:val="none" w:color="000000" w:sz="4"/>
              <w:left w:val="single" w:color="000000" w:sz="4"/>
              <w:bottom w:val="single" w:color="000000" w:sz="4"/>
              <w:right w:val="single" w:color="000000" w:sz="4"/>
            </w:tcBorders>
            <w:vAlign w:val="top"/>
          </w:tcPr>
          <w:p>
            <w:pPr>
              <w:jc w:val="center"/>
            </w:pPr>
          </w:p>
        </w:tc>
        <w:tc>
          <w:tcPr>
            <w:tcW w:type="dxa" w:w="1533"/>
            <w:tcBorders>
              <w:top w:val="none" w:color="000000" w:sz="4"/>
              <w:left w:val="single" w:color="000000" w:sz="4"/>
              <w:bottom w:val="single" w:color="000000" w:sz="4"/>
              <w:right w:val="single" w:color="000000" w:sz="4"/>
            </w:tcBorders>
            <w:vAlign w:val="top"/>
          </w:tcPr>
          <w:p>
            <w:pPr>
              <w:jc w:val="center"/>
            </w:pPr>
          </w:p>
        </w:tc>
      </w:tr>
      <w:tr>
        <w:tc>
          <w:tcPr>
            <w:tcW w:type="dxa" w:w="639"/>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994"/>
            <w:tcBorders>
              <w:top w:val="none" w:color="000000" w:sz="4"/>
              <w:left w:val="single" w:color="000000" w:sz="4"/>
              <w:bottom w:val="single" w:color="000000" w:sz="4"/>
              <w:right w:val="single" w:color="000000" w:sz="4"/>
            </w:tcBorders>
            <w:vAlign w:val="top"/>
          </w:tcPr>
          <w:p>
            <w:pPr>
              <w:jc w:val="center"/>
            </w:pPr>
          </w:p>
        </w:tc>
        <w:tc>
          <w:tcPr>
            <w:tcW w:type="dxa" w:w="1008"/>
            <w:tcBorders>
              <w:top w:val="none" w:color="000000" w:sz="4"/>
              <w:left w:val="single" w:color="000000" w:sz="4"/>
              <w:bottom w:val="single" w:color="000000" w:sz="4"/>
              <w:right w:val="single" w:color="000000" w:sz="4"/>
            </w:tcBorders>
            <w:vAlign w:val="top"/>
          </w:tcPr>
          <w:p>
            <w:pPr>
              <w:jc w:val="center"/>
            </w:pPr>
          </w:p>
        </w:tc>
        <w:tc>
          <w:tcPr>
            <w:tcW w:type="dxa" w:w="1448"/>
            <w:tcBorders>
              <w:top w:val="none" w:color="000000" w:sz="4"/>
              <w:left w:val="single" w:color="000000" w:sz="4"/>
              <w:bottom w:val="single" w:color="000000" w:sz="4"/>
              <w:right w:val="single" w:color="000000" w:sz="4"/>
            </w:tcBorders>
            <w:vAlign w:val="top"/>
          </w:tcPr>
          <w:p>
            <w:pPr>
              <w:jc w:val="center"/>
            </w:pPr>
          </w:p>
        </w:tc>
        <w:tc>
          <w:tcPr>
            <w:tcW w:type="dxa" w:w="1207"/>
            <w:tcBorders>
              <w:top w:val="none" w:color="000000" w:sz="4"/>
              <w:left w:val="single" w:color="000000" w:sz="4"/>
              <w:bottom w:val="single" w:color="000000" w:sz="4"/>
              <w:right w:val="single" w:color="000000" w:sz="4"/>
            </w:tcBorders>
            <w:vAlign w:val="top"/>
          </w:tcPr>
          <w:p>
            <w:pPr>
              <w:jc w:val="center"/>
            </w:pPr>
          </w:p>
        </w:tc>
        <w:tc>
          <w:tcPr>
            <w:tcW w:type="dxa" w:w="625"/>
            <w:tcBorders>
              <w:top w:val="none" w:color="000000" w:sz="4"/>
              <w:left w:val="single" w:color="000000" w:sz="4"/>
              <w:bottom w:val="single" w:color="000000" w:sz="4"/>
              <w:right w:val="single" w:color="000000" w:sz="4"/>
            </w:tcBorders>
            <w:vAlign w:val="top"/>
          </w:tcPr>
          <w:p>
            <w:pPr>
              <w:jc w:val="center"/>
            </w:pPr>
          </w:p>
        </w:tc>
        <w:tc>
          <w:tcPr>
            <w:tcW w:type="dxa" w:w="852"/>
            <w:tcBorders>
              <w:top w:val="none" w:color="000000" w:sz="4"/>
              <w:left w:val="single" w:color="000000" w:sz="4"/>
              <w:bottom w:val="single" w:color="000000" w:sz="4"/>
              <w:right w:val="single" w:color="000000" w:sz="4"/>
            </w:tcBorders>
            <w:vAlign w:val="top"/>
          </w:tcPr>
          <w:p>
            <w:pPr>
              <w:jc w:val="center"/>
            </w:pPr>
          </w:p>
        </w:tc>
        <w:tc>
          <w:tcPr>
            <w:tcW w:type="dxa" w:w="1533"/>
            <w:tcBorders>
              <w:top w:val="none" w:color="000000" w:sz="4"/>
              <w:left w:val="single" w:color="000000" w:sz="4"/>
              <w:bottom w:val="single" w:color="000000" w:sz="4"/>
              <w:right w:val="single" w:color="000000" w:sz="4"/>
            </w:tcBorders>
            <w:vAlign w:val="top"/>
          </w:tcPr>
          <w:p>
            <w:pPr>
              <w:jc w:val="center"/>
            </w:pPr>
          </w:p>
        </w:tc>
      </w:tr>
      <w:tr>
        <w:tc>
          <w:tcPr>
            <w:tcW w:type="dxa" w:w="639"/>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994"/>
            <w:tcBorders>
              <w:top w:val="none" w:color="000000" w:sz="4"/>
              <w:left w:val="single" w:color="000000" w:sz="4"/>
              <w:bottom w:val="single" w:color="000000" w:sz="4"/>
              <w:right w:val="single" w:color="000000" w:sz="4"/>
            </w:tcBorders>
            <w:vAlign w:val="top"/>
          </w:tcPr>
          <w:p>
            <w:pPr>
              <w:jc w:val="center"/>
            </w:pPr>
          </w:p>
        </w:tc>
        <w:tc>
          <w:tcPr>
            <w:tcW w:type="dxa" w:w="1008"/>
            <w:tcBorders>
              <w:top w:val="none" w:color="000000" w:sz="4"/>
              <w:left w:val="single" w:color="000000" w:sz="4"/>
              <w:bottom w:val="single" w:color="000000" w:sz="4"/>
              <w:right w:val="single" w:color="000000" w:sz="4"/>
            </w:tcBorders>
            <w:vAlign w:val="top"/>
          </w:tcPr>
          <w:p>
            <w:pPr>
              <w:jc w:val="center"/>
            </w:pPr>
          </w:p>
        </w:tc>
        <w:tc>
          <w:tcPr>
            <w:tcW w:type="dxa" w:w="1448"/>
            <w:tcBorders>
              <w:top w:val="none" w:color="000000" w:sz="4"/>
              <w:left w:val="single" w:color="000000" w:sz="4"/>
              <w:bottom w:val="single" w:color="000000" w:sz="4"/>
              <w:right w:val="single" w:color="000000" w:sz="4"/>
            </w:tcBorders>
            <w:vAlign w:val="top"/>
          </w:tcPr>
          <w:p>
            <w:pPr>
              <w:jc w:val="center"/>
            </w:pPr>
          </w:p>
        </w:tc>
        <w:tc>
          <w:tcPr>
            <w:tcW w:type="dxa" w:w="1207"/>
            <w:tcBorders>
              <w:top w:val="none" w:color="000000" w:sz="4"/>
              <w:left w:val="single" w:color="000000" w:sz="4"/>
              <w:bottom w:val="single" w:color="000000" w:sz="4"/>
              <w:right w:val="single" w:color="000000" w:sz="4"/>
            </w:tcBorders>
            <w:vAlign w:val="top"/>
          </w:tcPr>
          <w:p>
            <w:pPr>
              <w:jc w:val="center"/>
            </w:pPr>
          </w:p>
        </w:tc>
        <w:tc>
          <w:tcPr>
            <w:tcW w:type="dxa" w:w="625"/>
            <w:tcBorders>
              <w:top w:val="none" w:color="000000" w:sz="4"/>
              <w:left w:val="single" w:color="000000" w:sz="4"/>
              <w:bottom w:val="single" w:color="000000" w:sz="4"/>
              <w:right w:val="single" w:color="000000" w:sz="4"/>
            </w:tcBorders>
            <w:vAlign w:val="top"/>
          </w:tcPr>
          <w:p>
            <w:pPr>
              <w:jc w:val="center"/>
            </w:pPr>
          </w:p>
        </w:tc>
        <w:tc>
          <w:tcPr>
            <w:tcW w:type="dxa" w:w="852"/>
            <w:tcBorders>
              <w:top w:val="none" w:color="000000" w:sz="4"/>
              <w:left w:val="single" w:color="000000" w:sz="4"/>
              <w:bottom w:val="single" w:color="000000" w:sz="4"/>
              <w:right w:val="single" w:color="000000" w:sz="4"/>
            </w:tcBorders>
            <w:vAlign w:val="top"/>
          </w:tcPr>
          <w:p>
            <w:pPr>
              <w:jc w:val="center"/>
            </w:pPr>
          </w:p>
        </w:tc>
        <w:tc>
          <w:tcPr>
            <w:tcW w:type="dxa" w:w="1533"/>
            <w:tcBorders>
              <w:top w:val="none" w:color="000000" w:sz="4"/>
              <w:left w:val="single" w:color="000000" w:sz="4"/>
              <w:bottom w:val="single" w:color="000000" w:sz="4"/>
              <w:right w:val="single" w:color="000000" w:sz="4"/>
            </w:tcBorders>
            <w:vAlign w:val="top"/>
          </w:tcPr>
          <w:p>
            <w:pPr>
              <w:jc w:val="center"/>
            </w:pPr>
          </w:p>
        </w:tc>
      </w:tr>
      <w:tr>
        <w:tc>
          <w:tcPr>
            <w:tcW w:type="dxa" w:w="639"/>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994"/>
            <w:tcBorders>
              <w:top w:val="none" w:color="000000" w:sz="4"/>
              <w:left w:val="single" w:color="000000" w:sz="4"/>
              <w:bottom w:val="single" w:color="000000" w:sz="4"/>
              <w:right w:val="single" w:color="000000" w:sz="4"/>
            </w:tcBorders>
            <w:vAlign w:val="top"/>
          </w:tcPr>
          <w:p>
            <w:pPr>
              <w:jc w:val="center"/>
            </w:pPr>
          </w:p>
        </w:tc>
        <w:tc>
          <w:tcPr>
            <w:tcW w:type="dxa" w:w="1008"/>
            <w:tcBorders>
              <w:top w:val="none" w:color="000000" w:sz="4"/>
              <w:left w:val="single" w:color="000000" w:sz="4"/>
              <w:bottom w:val="single" w:color="000000" w:sz="4"/>
              <w:right w:val="single" w:color="000000" w:sz="4"/>
            </w:tcBorders>
            <w:vAlign w:val="top"/>
          </w:tcPr>
          <w:p>
            <w:pPr>
              <w:jc w:val="center"/>
            </w:pPr>
          </w:p>
        </w:tc>
        <w:tc>
          <w:tcPr>
            <w:tcW w:type="dxa" w:w="1448"/>
            <w:tcBorders>
              <w:top w:val="none" w:color="000000" w:sz="4"/>
              <w:left w:val="single" w:color="000000" w:sz="4"/>
              <w:bottom w:val="single" w:color="000000" w:sz="4"/>
              <w:right w:val="single" w:color="000000" w:sz="4"/>
            </w:tcBorders>
            <w:vAlign w:val="top"/>
          </w:tcPr>
          <w:p>
            <w:pPr>
              <w:jc w:val="center"/>
            </w:pPr>
          </w:p>
        </w:tc>
        <w:tc>
          <w:tcPr>
            <w:tcW w:type="dxa" w:w="1207"/>
            <w:tcBorders>
              <w:top w:val="none" w:color="000000" w:sz="4"/>
              <w:left w:val="single" w:color="000000" w:sz="4"/>
              <w:bottom w:val="single" w:color="000000" w:sz="4"/>
              <w:right w:val="single" w:color="000000" w:sz="4"/>
            </w:tcBorders>
            <w:vAlign w:val="top"/>
          </w:tcPr>
          <w:p>
            <w:pPr>
              <w:jc w:val="center"/>
            </w:pPr>
          </w:p>
        </w:tc>
        <w:tc>
          <w:tcPr>
            <w:tcW w:type="dxa" w:w="625"/>
            <w:tcBorders>
              <w:top w:val="none" w:color="000000" w:sz="4"/>
              <w:left w:val="single" w:color="000000" w:sz="4"/>
              <w:bottom w:val="single" w:color="000000" w:sz="4"/>
              <w:right w:val="single" w:color="000000" w:sz="4"/>
            </w:tcBorders>
            <w:vAlign w:val="top"/>
          </w:tcPr>
          <w:p>
            <w:pPr>
              <w:jc w:val="center"/>
            </w:pPr>
          </w:p>
        </w:tc>
        <w:tc>
          <w:tcPr>
            <w:tcW w:type="dxa" w:w="852"/>
            <w:tcBorders>
              <w:top w:val="none" w:color="000000" w:sz="4"/>
              <w:left w:val="single" w:color="000000" w:sz="4"/>
              <w:bottom w:val="single" w:color="000000" w:sz="4"/>
              <w:right w:val="single" w:color="000000" w:sz="4"/>
            </w:tcBorders>
            <w:vAlign w:val="top"/>
          </w:tcPr>
          <w:p>
            <w:pPr>
              <w:jc w:val="center"/>
            </w:pPr>
          </w:p>
        </w:tc>
        <w:tc>
          <w:tcPr>
            <w:tcW w:type="dxa" w:w="1533"/>
            <w:tcBorders>
              <w:top w:val="none" w:color="000000" w:sz="4"/>
              <w:left w:val="single" w:color="000000" w:sz="4"/>
              <w:bottom w:val="single" w:color="000000" w:sz="4"/>
              <w:right w:val="single" w:color="000000" w:sz="4"/>
            </w:tcBorders>
            <w:vAlign w:val="top"/>
          </w:tcPr>
          <w:p>
            <w:pPr>
              <w:jc w:val="center"/>
            </w:pPr>
          </w:p>
        </w:tc>
      </w:tr>
      <w:tr>
        <w:tc>
          <w:tcPr>
            <w:tcW w:type="dxa" w:w="639"/>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994"/>
            <w:tcBorders>
              <w:top w:val="none" w:color="000000" w:sz="4"/>
              <w:left w:val="single" w:color="000000" w:sz="4"/>
              <w:bottom w:val="single" w:color="000000" w:sz="4"/>
              <w:right w:val="single" w:color="000000" w:sz="4"/>
            </w:tcBorders>
            <w:vAlign w:val="top"/>
          </w:tcPr>
          <w:p>
            <w:pPr>
              <w:jc w:val="center"/>
            </w:pPr>
          </w:p>
        </w:tc>
        <w:tc>
          <w:tcPr>
            <w:tcW w:type="dxa" w:w="1008"/>
            <w:tcBorders>
              <w:top w:val="none" w:color="000000" w:sz="4"/>
              <w:left w:val="single" w:color="000000" w:sz="4"/>
              <w:bottom w:val="single" w:color="000000" w:sz="4"/>
              <w:right w:val="single" w:color="000000" w:sz="4"/>
            </w:tcBorders>
            <w:vAlign w:val="top"/>
          </w:tcPr>
          <w:p>
            <w:pPr>
              <w:jc w:val="center"/>
            </w:pPr>
          </w:p>
        </w:tc>
        <w:tc>
          <w:tcPr>
            <w:tcW w:type="dxa" w:w="1448"/>
            <w:tcBorders>
              <w:top w:val="none" w:color="000000" w:sz="4"/>
              <w:left w:val="single" w:color="000000" w:sz="4"/>
              <w:bottom w:val="single" w:color="000000" w:sz="4"/>
              <w:right w:val="single" w:color="000000" w:sz="4"/>
            </w:tcBorders>
            <w:vAlign w:val="top"/>
          </w:tcPr>
          <w:p>
            <w:pPr>
              <w:jc w:val="center"/>
            </w:pPr>
          </w:p>
        </w:tc>
        <w:tc>
          <w:tcPr>
            <w:tcW w:type="dxa" w:w="1207"/>
            <w:tcBorders>
              <w:top w:val="none" w:color="000000" w:sz="4"/>
              <w:left w:val="single" w:color="000000" w:sz="4"/>
              <w:bottom w:val="single" w:color="000000" w:sz="4"/>
              <w:right w:val="single" w:color="000000" w:sz="4"/>
            </w:tcBorders>
            <w:vAlign w:val="top"/>
          </w:tcPr>
          <w:p>
            <w:pPr>
              <w:jc w:val="center"/>
            </w:pPr>
          </w:p>
        </w:tc>
        <w:tc>
          <w:tcPr>
            <w:tcW w:type="dxa" w:w="625"/>
            <w:tcBorders>
              <w:top w:val="none" w:color="000000" w:sz="4"/>
              <w:left w:val="single" w:color="000000" w:sz="4"/>
              <w:bottom w:val="single" w:color="000000" w:sz="4"/>
              <w:right w:val="single" w:color="000000" w:sz="4"/>
            </w:tcBorders>
            <w:vAlign w:val="top"/>
          </w:tcPr>
          <w:p>
            <w:pPr>
              <w:jc w:val="center"/>
            </w:pPr>
          </w:p>
        </w:tc>
        <w:tc>
          <w:tcPr>
            <w:tcW w:type="dxa" w:w="852"/>
            <w:tcBorders>
              <w:top w:val="none" w:color="000000" w:sz="4"/>
              <w:left w:val="single" w:color="000000" w:sz="4"/>
              <w:bottom w:val="single" w:color="000000" w:sz="4"/>
              <w:right w:val="single" w:color="000000" w:sz="4"/>
            </w:tcBorders>
            <w:vAlign w:val="top"/>
          </w:tcPr>
          <w:p>
            <w:pPr>
              <w:jc w:val="center"/>
            </w:pPr>
          </w:p>
        </w:tc>
        <w:tc>
          <w:tcPr>
            <w:tcW w:type="dxa" w:w="1533"/>
            <w:tcBorders>
              <w:top w:val="none" w:color="000000" w:sz="4"/>
              <w:left w:val="single" w:color="000000" w:sz="4"/>
              <w:bottom w:val="single" w:color="000000" w:sz="4"/>
              <w:right w:val="single" w:color="000000" w:sz="4"/>
            </w:tcBorders>
            <w:vAlign w:val="top"/>
          </w:tcPr>
          <w:p>
            <w:pPr>
              <w:jc w:val="center"/>
            </w:pP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440115-2022-03302</w:t>
      </w:r>
    </w:p>
    <w:p>
      <w:pPr>
        <w:jc w:val="center"/>
      </w:pPr>
      <w:r>
        <w:rPr>
          <w:b/>
          <w:sz w:val="24"/>
        </w:rPr>
        <w:t>采购项目编号：</w:t>
      </w:r>
      <w:r>
        <w:rPr>
          <w:b/>
          <w:sz w:val="24"/>
        </w:rPr>
        <w:t>C001011-20220050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九、中小企业声明函</w:t>
      </w:r>
    </w:p>
    <w:p>
      <w:pPr>
        <w:ind w:firstLine="480"/>
      </w:pPr>
      <w:r>
        <w:rPr/>
        <w:t>十、监狱企业</w:t>
      </w:r>
    </w:p>
    <w:p>
      <w:pPr>
        <w:ind w:firstLine="480"/>
      </w:pPr>
      <w:r>
        <w:rPr/>
        <w:t>十一、残疾人福利性单位声明函</w:t>
      </w:r>
    </w:p>
    <w:p>
      <w:pPr>
        <w:ind w:firstLine="480"/>
      </w:pPr>
      <w:r>
        <w:rPr/>
        <w:t>十二、联合体共同投标协议书</w:t>
      </w:r>
    </w:p>
    <w:p>
      <w:pPr>
        <w:ind w:firstLine="480"/>
      </w:pPr>
      <w:r>
        <w:rPr/>
        <w:t>十三、投标人业绩情况表</w:t>
      </w:r>
    </w:p>
    <w:p>
      <w:pPr>
        <w:ind w:firstLine="480"/>
      </w:pPr>
      <w:r>
        <w:rPr/>
        <w:t>十四、技术和服务要求响应表</w:t>
      </w:r>
    </w:p>
    <w:p>
      <w:pPr>
        <w:ind w:firstLine="480"/>
      </w:pPr>
      <w:r>
        <w:rPr/>
        <w:t>十五、商务条件响应表</w:t>
      </w:r>
    </w:p>
    <w:p>
      <w:pPr>
        <w:ind w:firstLine="480"/>
      </w:pPr>
      <w:r>
        <w:rPr/>
        <w:t>十六、履约进度计划表</w:t>
      </w:r>
    </w:p>
    <w:p>
      <w:pPr>
        <w:ind w:firstLine="480"/>
      </w:pPr>
      <w:r>
        <w:rPr/>
        <w:t>十七、各类证明材料</w:t>
      </w:r>
    </w:p>
    <w:p>
      <w:pPr>
        <w:ind w:firstLine="480"/>
      </w:pPr>
      <w:r>
        <w:rPr/>
        <w:t>十八、采购代理服务费支付承诺书</w:t>
      </w:r>
    </w:p>
    <w:p>
      <w:pPr>
        <w:ind w:firstLine="480"/>
      </w:pPr>
      <w:r>
        <w:rPr/>
        <w:t>十九、需要采购人提供的附加条件</w:t>
      </w:r>
    </w:p>
    <w:p>
      <w:pPr>
        <w:ind w:firstLine="480"/>
      </w:pPr>
      <w:r>
        <w:rPr/>
        <w:t>二十、项目实施方案、质量保证及售后服务承诺等</w:t>
      </w:r>
    </w:p>
    <w:p>
      <w:pPr>
        <w:ind w:firstLine="480"/>
      </w:pPr>
      <w:r>
        <w:rPr/>
        <w:t>二十一、附件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广东国利招标有限公司</w:t>
      </w:r>
    </w:p>
    <w:p>
      <w:pPr>
        <w:ind w:firstLine="480"/>
      </w:pPr>
      <w:r>
        <w:rPr/>
        <w:t>你方组织的</w:t>
      </w:r>
      <w:r>
        <w:rPr>
          <w:u w:val="single"/>
        </w:rPr>
        <w:t>明珠湾起步区灵山岛尖C2单元高水平国际城市风貌管控技术服务（2022-2025）</w:t>
      </w:r>
      <w:r>
        <w:rPr/>
        <w:t>项目的招标[采购项目编号为：</w:t>
      </w:r>
      <w:r>
        <w:rPr>
          <w:u w:val="single"/>
        </w:rPr>
        <w:t>C001011-20220050</w:t>
      </w:r>
      <w:r>
        <w:rPr/>
        <w:t>]，我方愿参与投标。</w:t>
      </w:r>
    </w:p>
    <w:p>
      <w:pPr>
        <w:ind w:firstLine="480"/>
      </w:pPr>
      <w:r>
        <w:rPr/>
        <w:t>我方确认收到贵方提供的</w:t>
      </w:r>
      <w:r>
        <w:rPr>
          <w:u w:val="single"/>
        </w:rPr>
        <w:t>明珠湾起步区灵山岛尖C2单元高水平国际城市风貌管控技术服务（2022-2025）</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广东国利招标有限公司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明珠湾起步区灵山岛尖C2单元高水平国际城市风貌管控技术服务（2022-2025）</w:t>
      </w:r>
      <w:r>
        <w:rPr/>
        <w:t>项目采购[采购项目编号为</w:t>
      </w:r>
      <w:r>
        <w:rPr/>
        <w:t>C001011-20220050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格式十四：</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格式十五：</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格式十六：</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格式十八：</w:t>
      </w:r>
    </w:p>
    <w:p>
      <w:pPr>
        <w:jc w:val="center"/>
      </w:pPr>
      <w:r>
        <w:rPr>
          <w:b/>
          <w:sz w:val="24"/>
        </w:rPr>
        <w:t>采购代理服务费支付承诺书</w:t>
      </w:r>
    </w:p>
    <w:p>
      <w:pPr>
        <w:ind w:firstLine="480"/>
      </w:pPr>
      <w:r>
        <w:rPr/>
        <w:t>致：</w:t>
      </w:r>
      <w:r>
        <w:rPr/>
        <w:t>广东国利招标有限公司</w:t>
      </w:r>
    </w:p>
    <w:p>
      <w:pPr>
        <w:ind w:firstLine="480"/>
      </w:pPr>
      <w:r>
        <w:rPr/>
        <w:t>如果我方在贵采购代理机构组织的</w:t>
      </w:r>
      <w:r>
        <w:rPr/>
        <w:t>明珠湾起步区灵山岛尖C2单元高水平国际城市风貌管控技术服务（2022-2025）</w:t>
      </w:r>
      <w:r>
        <w:rPr/>
        <w:t>招标中获中标（采购项目编号：</w:t>
      </w:r>
      <w:r>
        <w:rPr/>
        <w:t>C001011-20220050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广东国利招标有限公司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格式二十一：</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