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47B" w:rsidRDefault="00C3347B" w:rsidP="00C3347B">
      <w:pPr>
        <w:autoSpaceDE w:val="0"/>
        <w:autoSpaceDN w:val="0"/>
        <w:spacing w:line="360" w:lineRule="auto"/>
        <w:jc w:val="center"/>
        <w:outlineLvl w:val="2"/>
        <w:rPr>
          <w:rFonts w:ascii="宋体" w:hAnsi="宋体" w:cs="宋体"/>
          <w:b/>
          <w:bCs/>
          <w:szCs w:val="21"/>
        </w:rPr>
      </w:pPr>
      <w:bookmarkStart w:id="0" w:name="_Toc9870"/>
      <w:r>
        <w:rPr>
          <w:rFonts w:hAnsi="宋体" w:cs="宋体" w:hint="eastAsia"/>
          <w:b/>
          <w:bCs/>
          <w:kern w:val="44"/>
          <w:sz w:val="32"/>
          <w:szCs w:val="32"/>
          <w:lang w:val="zh-CN"/>
        </w:rPr>
        <w:t>用户需求书</w:t>
      </w:r>
      <w:bookmarkStart w:id="1" w:name="_GoBack"/>
      <w:bookmarkEnd w:id="1"/>
    </w:p>
    <w:p w:rsidR="00C3347B" w:rsidRDefault="00C3347B" w:rsidP="00C3347B">
      <w:pPr>
        <w:autoSpaceDE w:val="0"/>
        <w:autoSpaceDN w:val="0"/>
        <w:spacing w:line="360" w:lineRule="auto"/>
        <w:jc w:val="center"/>
        <w:outlineLvl w:val="2"/>
        <w:rPr>
          <w:rFonts w:ascii="宋体" w:hAnsi="宋体" w:cs="宋体" w:hint="eastAsia"/>
          <w:b/>
          <w:bCs/>
          <w:szCs w:val="21"/>
        </w:rPr>
      </w:pPr>
      <w:r>
        <w:rPr>
          <w:rFonts w:ascii="宋体" w:hAnsi="宋体" w:cs="宋体" w:hint="eastAsia"/>
          <w:b/>
          <w:bCs/>
          <w:szCs w:val="21"/>
        </w:rPr>
        <w:t>包组3：广东省航空业务专用无线电监测网监测设施维保项目</w:t>
      </w:r>
      <w:bookmarkEnd w:id="0"/>
    </w:p>
    <w:p w:rsidR="00C3347B" w:rsidRDefault="00C3347B" w:rsidP="00C3347B">
      <w:pPr>
        <w:widowControl/>
        <w:numPr>
          <w:ilvl w:val="0"/>
          <w:numId w:val="1"/>
        </w:numPr>
        <w:tabs>
          <w:tab w:val="left" w:pos="424"/>
        </w:tabs>
        <w:spacing w:line="360" w:lineRule="auto"/>
        <w:ind w:firstLineChars="200" w:firstLine="422"/>
        <w:outlineLvl w:val="3"/>
        <w:rPr>
          <w:rFonts w:ascii="宋体" w:hAnsi="宋体" w:cs="宋体" w:hint="eastAsia"/>
          <w:b/>
          <w:szCs w:val="21"/>
        </w:rPr>
      </w:pPr>
      <w:r>
        <w:rPr>
          <w:rFonts w:ascii="宋体" w:hAnsi="宋体" w:cs="宋体" w:hint="eastAsia"/>
          <w:b/>
          <w:szCs w:val="21"/>
        </w:rPr>
        <w:t>概述</w:t>
      </w:r>
    </w:p>
    <w:p w:rsidR="00C3347B" w:rsidRDefault="00C3347B" w:rsidP="00C3347B">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广东省航空业务专用无线电监测网从2017年开始建设，逐步建成了广东省航空业务专用无线电监测网控制中心及揭阳潮汕机场站、广州市西岭站、韶关市南雄民航导航台、佛山市大南山站、中山市中山港站、江门市大岭山站、云浮市大绀山站、清远飞霞大厦站、惠州机场站、云浮罗定站、珠海石花山站、梅州机场站共12个航空监测站，以及接入航空监测网管理的43套小型监测站，这对保障省内重点监测区域、重点机场和重要航路的监测有积极重大的作用。开展广东省航空业务专用无线电监测网监测设施维保项目，能有效保障广东省航空业务专用无线电监测网日常运行，显著提升广东省无线电监测站持续稳定监测能力，减少乃至大幅度避免重要民航机场以及重要航路上无线电对航空器的干扰，提高航空事业的安全性，有利于减少无线电干扰事件带来的经济损失和人民生命财产损失，具有显著的间接经济效益、社会效益和国防效益。</w:t>
      </w:r>
    </w:p>
    <w:p w:rsidR="00C3347B" w:rsidRDefault="00C3347B" w:rsidP="00C3347B">
      <w:pPr>
        <w:widowControl/>
        <w:numPr>
          <w:ilvl w:val="0"/>
          <w:numId w:val="1"/>
        </w:numPr>
        <w:tabs>
          <w:tab w:val="left" w:pos="424"/>
        </w:tabs>
        <w:spacing w:line="360" w:lineRule="auto"/>
        <w:ind w:firstLineChars="200" w:firstLine="422"/>
        <w:outlineLvl w:val="3"/>
        <w:rPr>
          <w:rFonts w:ascii="宋体" w:hAnsi="宋体" w:cs="宋体" w:hint="eastAsia"/>
          <w:b/>
          <w:szCs w:val="21"/>
        </w:rPr>
      </w:pPr>
      <w:r>
        <w:rPr>
          <w:rFonts w:ascii="宋体" w:hAnsi="宋体" w:cs="宋体" w:hint="eastAsia"/>
          <w:b/>
          <w:szCs w:val="21"/>
        </w:rPr>
        <w:t>维保内容</w:t>
      </w:r>
    </w:p>
    <w:p w:rsidR="00C3347B" w:rsidRDefault="00C3347B" w:rsidP="00C3347B">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维保的主要技术服务项包括例行保养、故障维修、测试校准和使用保障。</w:t>
      </w:r>
    </w:p>
    <w:p w:rsidR="00C3347B" w:rsidRDefault="00C3347B" w:rsidP="00C3347B">
      <w:pPr>
        <w:widowControl/>
        <w:tabs>
          <w:tab w:val="left" w:pos="424"/>
        </w:tabs>
        <w:spacing w:line="360" w:lineRule="auto"/>
        <w:ind w:firstLineChars="200" w:firstLine="422"/>
        <w:jc w:val="left"/>
        <w:rPr>
          <w:rFonts w:ascii="宋体" w:hAnsi="宋体" w:cs="宋体" w:hint="eastAsia"/>
          <w:b/>
          <w:szCs w:val="21"/>
        </w:rPr>
      </w:pPr>
      <w:r>
        <w:rPr>
          <w:rFonts w:ascii="宋体" w:hAnsi="宋体" w:cs="宋体" w:hint="eastAsia"/>
          <w:b/>
          <w:szCs w:val="21"/>
        </w:rPr>
        <w:t>（1）例行保养</w:t>
      </w:r>
    </w:p>
    <w:p w:rsidR="00C3347B" w:rsidRDefault="00C3347B" w:rsidP="00C3347B">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1）系统巡检</w:t>
      </w:r>
    </w:p>
    <w:p w:rsidR="00C3347B" w:rsidRDefault="00C3347B" w:rsidP="00C3347B">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定期对各站点进行巡检，保证监测设备不间断地工作。检查通信机房的温度、湿度、洁净度、空气新鲜度等的要求，以利于监测设备正常运行。检查空调、消防、防雷、天馈、供电和网络系统、合理的更换老化、性能下降部件，维护监测设备，保证监测设备的电气性能、机械性能、维护技术指标符合标准。提高设备利用率，延长系统设备使用时间。提交巡检报告。</w:t>
      </w:r>
    </w:p>
    <w:p w:rsidR="00C3347B" w:rsidRDefault="00C3347B" w:rsidP="00C3347B">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2）现场维护</w:t>
      </w:r>
    </w:p>
    <w:p w:rsidR="00C3347B" w:rsidRDefault="00C3347B" w:rsidP="00C3347B">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系统运行发生问题时，对于电话、远程接入支持不能解决的问题，中标人按规定的时限安排技术服务工程师赴现场提供支持服务。按需要安排现场维护，现场处理基本解决条件的软硬件问题，重大设备维修转维修流程处理，直到系统恢复正常运行。现场维护需提供维护维修报告。</w:t>
      </w:r>
    </w:p>
    <w:p w:rsidR="00C3347B" w:rsidRDefault="00C3347B" w:rsidP="00C3347B">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★维保服务期间安排一维护人员常驻省中心站。</w:t>
      </w:r>
    </w:p>
    <w:p w:rsidR="00C3347B" w:rsidRDefault="00C3347B" w:rsidP="00C3347B">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3）远程维护</w:t>
      </w:r>
    </w:p>
    <w:p w:rsidR="00C3347B" w:rsidRDefault="00C3347B" w:rsidP="00C3347B">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lastRenderedPageBreak/>
        <w:t>远程维护是指在授权的情况下，中标人通过远程登录监测站网络，提供部分的系统检查和维护支持，在充分保证安全的前提下，可以节约时间，提高效率。</w:t>
      </w:r>
    </w:p>
    <w:p w:rsidR="00C3347B" w:rsidRDefault="00C3347B" w:rsidP="00C3347B">
      <w:pPr>
        <w:widowControl/>
        <w:tabs>
          <w:tab w:val="left" w:pos="424"/>
        </w:tabs>
        <w:spacing w:line="360" w:lineRule="auto"/>
        <w:ind w:firstLineChars="200" w:firstLine="422"/>
        <w:jc w:val="left"/>
        <w:rPr>
          <w:rFonts w:ascii="宋体" w:hAnsi="宋体" w:cs="宋体" w:hint="eastAsia"/>
          <w:b/>
          <w:szCs w:val="21"/>
        </w:rPr>
      </w:pPr>
      <w:r>
        <w:rPr>
          <w:rFonts w:ascii="宋体" w:hAnsi="宋体" w:cs="宋体" w:hint="eastAsia"/>
          <w:b/>
          <w:szCs w:val="21"/>
        </w:rPr>
        <w:t>（2）故障维修</w:t>
      </w:r>
    </w:p>
    <w:p w:rsidR="00C3347B" w:rsidRDefault="00C3347B" w:rsidP="00C3347B">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★4）系统设备维修</w:t>
      </w:r>
    </w:p>
    <w:p w:rsidR="00C3347B" w:rsidRDefault="00C3347B" w:rsidP="00C3347B">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涉及零配件更换的设备维修：在运维服务期间，包括初次巡检发现的设备故障，免费提供全部设备维修。按规程操作情况下发生的故障，所有的设备维修不限更换的配件内容和次数，以设备恢复正常运行为标准。所有设备维修后需提供维修报告和设备性能报告。珠海、惠州、江门、阳江等地市的13个监测站点主设备已运行多年，现存在较严重故障，部分处于瘫痪状态，原建设公司已无法提供售后服务，需对主要配件进行维修升级改造。</w:t>
      </w:r>
    </w:p>
    <w:p w:rsidR="00C3347B" w:rsidRDefault="00C3347B" w:rsidP="00C3347B">
      <w:pPr>
        <w:widowControl/>
        <w:tabs>
          <w:tab w:val="left" w:pos="424"/>
        </w:tabs>
        <w:spacing w:line="360" w:lineRule="auto"/>
        <w:ind w:firstLineChars="200" w:firstLine="422"/>
        <w:jc w:val="left"/>
        <w:rPr>
          <w:rFonts w:ascii="宋体" w:hAnsi="宋体" w:cs="宋体" w:hint="eastAsia"/>
          <w:b/>
          <w:szCs w:val="21"/>
        </w:rPr>
      </w:pPr>
      <w:r>
        <w:rPr>
          <w:rFonts w:ascii="宋体" w:hAnsi="宋体" w:cs="宋体" w:hint="eastAsia"/>
          <w:b/>
          <w:szCs w:val="21"/>
        </w:rPr>
        <w:t>（3）测试校准</w:t>
      </w:r>
    </w:p>
    <w:p w:rsidR="00C3347B" w:rsidRDefault="00C3347B" w:rsidP="00C3347B">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5）系统期间性能核查</w:t>
      </w:r>
    </w:p>
    <w:p w:rsidR="00C3347B" w:rsidRDefault="00C3347B" w:rsidP="00C3347B">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在运维服务期间，对站点在用主要设备（测向设备、监测设备）进行设备单机功能测试、系统性能测试、网络联调测试，以确保设备、系统性能符合技术要求。对测试后设备发现未达到技术要求，中标人应进行设备调试和维修，以使设备恢复正常状态。所有设备测试后应提供性能测试报告。</w:t>
      </w:r>
    </w:p>
    <w:p w:rsidR="00C3347B" w:rsidRDefault="00C3347B" w:rsidP="00C3347B">
      <w:pPr>
        <w:widowControl/>
        <w:tabs>
          <w:tab w:val="left" w:pos="424"/>
        </w:tabs>
        <w:spacing w:line="360" w:lineRule="auto"/>
        <w:ind w:firstLineChars="200" w:firstLine="422"/>
        <w:jc w:val="left"/>
        <w:rPr>
          <w:rFonts w:ascii="宋体" w:hAnsi="宋体" w:cs="宋体" w:hint="eastAsia"/>
          <w:b/>
          <w:szCs w:val="21"/>
        </w:rPr>
      </w:pPr>
      <w:r>
        <w:rPr>
          <w:rFonts w:ascii="宋体" w:hAnsi="宋体" w:cs="宋体" w:hint="eastAsia"/>
          <w:b/>
          <w:szCs w:val="21"/>
        </w:rPr>
        <w:t>（4）使用保障</w:t>
      </w:r>
    </w:p>
    <w:p w:rsidR="00C3347B" w:rsidRDefault="00C3347B" w:rsidP="00C3347B">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6）备品备件</w:t>
      </w:r>
    </w:p>
    <w:p w:rsidR="00C3347B" w:rsidRDefault="00C3347B" w:rsidP="00C3347B">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在确认硬件故障，需要更换备件清单中所列设备的情况下，中标人提供快速备件递送服务。如果设备要长期（半个月以上）维修，必须有备用设备替代该站点工作。</w:t>
      </w:r>
    </w:p>
    <w:p w:rsidR="00C3347B" w:rsidRDefault="00C3347B" w:rsidP="00C3347B">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7）重大任务保障</w:t>
      </w:r>
    </w:p>
    <w:p w:rsidR="00C3347B" w:rsidRDefault="00C3347B" w:rsidP="00C3347B">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无线电管理重大事务保障，例如军演、重要活动等，中标人根据采购人需要派出相应数量的熟练工程师，抵达现场保障设备的正常运行，并可以作为保障工作人员，接受无线电管理部门调遣。</w:t>
      </w:r>
    </w:p>
    <w:p w:rsidR="00C3347B" w:rsidRDefault="00C3347B" w:rsidP="00C3347B">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8）建立维护保养档案</w:t>
      </w:r>
    </w:p>
    <w:p w:rsidR="00C3347B" w:rsidRDefault="00C3347B" w:rsidP="00C3347B">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给监测网内每个站点建立维护保养维修档案，全生命周期跟踪每个站点的运行、维护和维修情况。中标人建立、管理和填写该档案，采购人可以查看、增加内容、统计和调出打印。</w:t>
      </w:r>
    </w:p>
    <w:p w:rsidR="00C3347B" w:rsidRDefault="00C3347B" w:rsidP="00C3347B">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9）搬迁安装监测测向站</w:t>
      </w:r>
    </w:p>
    <w:p w:rsidR="00C3347B" w:rsidRDefault="00C3347B" w:rsidP="00C3347B">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搬迁并安装一台省工信厅原有的ESMERALDA XE监测测向站到韶关市南雄省属民航导航台站址，并为其配置必须的附属设施，使其接入到广东省航空业务专用无线电监测网。</w:t>
      </w:r>
    </w:p>
    <w:p w:rsidR="00C3347B" w:rsidRDefault="00C3347B" w:rsidP="00C3347B">
      <w:pPr>
        <w:widowControl/>
        <w:numPr>
          <w:ilvl w:val="0"/>
          <w:numId w:val="1"/>
        </w:numPr>
        <w:tabs>
          <w:tab w:val="left" w:pos="424"/>
        </w:tabs>
        <w:spacing w:line="360" w:lineRule="auto"/>
        <w:ind w:firstLineChars="200" w:firstLine="422"/>
        <w:outlineLvl w:val="3"/>
        <w:rPr>
          <w:rFonts w:ascii="宋体" w:hAnsi="宋体" w:cs="宋体" w:hint="eastAsia"/>
          <w:b/>
          <w:szCs w:val="21"/>
        </w:rPr>
      </w:pPr>
      <w:r>
        <w:rPr>
          <w:rFonts w:ascii="宋体" w:hAnsi="宋体" w:cs="宋体" w:hint="eastAsia"/>
          <w:b/>
          <w:szCs w:val="21"/>
        </w:rPr>
        <w:lastRenderedPageBreak/>
        <w:t>服务期限</w:t>
      </w:r>
    </w:p>
    <w:p w:rsidR="00C3347B" w:rsidRDefault="00C3347B" w:rsidP="00C3347B">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维保工作服务期限：2022年1月1日至2022年12月31日。</w:t>
      </w:r>
    </w:p>
    <w:p w:rsidR="00C3347B" w:rsidRDefault="00C3347B" w:rsidP="00C3347B">
      <w:pPr>
        <w:widowControl/>
        <w:numPr>
          <w:ilvl w:val="0"/>
          <w:numId w:val="1"/>
        </w:numPr>
        <w:tabs>
          <w:tab w:val="left" w:pos="424"/>
        </w:tabs>
        <w:spacing w:line="360" w:lineRule="auto"/>
        <w:ind w:firstLineChars="200" w:firstLine="422"/>
        <w:outlineLvl w:val="3"/>
        <w:rPr>
          <w:rFonts w:ascii="宋体" w:hAnsi="宋体" w:cs="宋体" w:hint="eastAsia"/>
          <w:b/>
          <w:szCs w:val="21"/>
        </w:rPr>
      </w:pPr>
      <w:r>
        <w:rPr>
          <w:rFonts w:ascii="宋体" w:hAnsi="宋体" w:cs="宋体" w:hint="eastAsia"/>
          <w:b/>
          <w:szCs w:val="21"/>
        </w:rPr>
        <w:t>项目预算</w:t>
      </w:r>
    </w:p>
    <w:p w:rsidR="00C3347B" w:rsidRDefault="00C3347B" w:rsidP="00C3347B">
      <w:pPr>
        <w:widowControl/>
        <w:tabs>
          <w:tab w:val="left" w:pos="424"/>
        </w:tabs>
        <w:spacing w:line="360" w:lineRule="auto"/>
        <w:ind w:firstLineChars="200" w:firstLine="420"/>
        <w:jc w:val="left"/>
        <w:rPr>
          <w:rFonts w:ascii="宋体" w:hAnsi="宋体" w:cs="宋体" w:hint="eastAsia"/>
          <w:bCs/>
          <w:szCs w:val="21"/>
        </w:rPr>
      </w:pPr>
      <w:r>
        <w:rPr>
          <w:rFonts w:ascii="宋体" w:hAnsi="宋体" w:cs="宋体" w:hint="eastAsia"/>
          <w:bCs/>
          <w:szCs w:val="21"/>
        </w:rPr>
        <w:t>人民币320万元。</w:t>
      </w:r>
    </w:p>
    <w:p w:rsidR="00C3347B" w:rsidRDefault="00C3347B" w:rsidP="00C3347B">
      <w:pPr>
        <w:widowControl/>
        <w:numPr>
          <w:ilvl w:val="0"/>
          <w:numId w:val="1"/>
        </w:numPr>
        <w:tabs>
          <w:tab w:val="left" w:pos="424"/>
        </w:tabs>
        <w:spacing w:line="360" w:lineRule="auto"/>
        <w:ind w:firstLineChars="200" w:firstLine="422"/>
        <w:outlineLvl w:val="3"/>
        <w:rPr>
          <w:rFonts w:ascii="宋体" w:hAnsi="宋体" w:cs="宋体" w:hint="eastAsia"/>
          <w:b/>
          <w:szCs w:val="21"/>
        </w:rPr>
      </w:pPr>
      <w:r>
        <w:rPr>
          <w:rFonts w:ascii="宋体" w:hAnsi="宋体" w:cs="宋体" w:hint="eastAsia"/>
          <w:b/>
          <w:szCs w:val="21"/>
        </w:rPr>
        <w:t>付款方式</w:t>
      </w:r>
      <w:r>
        <w:rPr>
          <w:rFonts w:ascii="宋体" w:hAnsi="宋体" w:cs="宋体" w:hint="eastAsia"/>
          <w:szCs w:val="21"/>
        </w:rPr>
        <w:t>（贷记凭证、银行转帐）</w:t>
      </w:r>
    </w:p>
    <w:p w:rsidR="00C3347B" w:rsidRDefault="00C3347B" w:rsidP="00C3347B">
      <w:pPr>
        <w:widowControl/>
        <w:numPr>
          <w:ilvl w:val="6"/>
          <w:numId w:val="2"/>
        </w:numPr>
        <w:tabs>
          <w:tab w:val="left" w:pos="424"/>
        </w:tabs>
        <w:spacing w:line="360" w:lineRule="auto"/>
        <w:ind w:left="0" w:firstLineChars="200" w:firstLine="420"/>
        <w:jc w:val="left"/>
        <w:rPr>
          <w:rFonts w:ascii="宋体" w:hAnsi="宋体" w:cs="宋体" w:hint="eastAsia"/>
          <w:szCs w:val="21"/>
        </w:rPr>
      </w:pPr>
      <w:r>
        <w:rPr>
          <w:rFonts w:ascii="宋体" w:hAnsi="宋体" w:cs="宋体" w:hint="eastAsia"/>
          <w:szCs w:val="21"/>
        </w:rPr>
        <w:t>本合同的支付币种为人民币。</w:t>
      </w:r>
    </w:p>
    <w:p w:rsidR="00C3347B" w:rsidRDefault="00C3347B" w:rsidP="00C3347B">
      <w:pPr>
        <w:widowControl/>
        <w:numPr>
          <w:ilvl w:val="6"/>
          <w:numId w:val="2"/>
        </w:numPr>
        <w:tabs>
          <w:tab w:val="left" w:pos="424"/>
        </w:tabs>
        <w:spacing w:line="360" w:lineRule="auto"/>
        <w:ind w:left="0" w:firstLineChars="200" w:firstLine="420"/>
        <w:jc w:val="left"/>
        <w:rPr>
          <w:rFonts w:ascii="宋体" w:hAnsi="宋体" w:cs="宋体" w:hint="eastAsia"/>
          <w:szCs w:val="21"/>
        </w:rPr>
      </w:pPr>
      <w:r>
        <w:rPr>
          <w:rFonts w:ascii="宋体" w:hAnsi="宋体" w:cs="宋体" w:hint="eastAsia"/>
          <w:szCs w:val="21"/>
        </w:rPr>
        <w:t>采购人按如下条款履行支付：</w:t>
      </w:r>
    </w:p>
    <w:p w:rsidR="00C3347B" w:rsidRDefault="00C3347B" w:rsidP="00C3347B">
      <w:pPr>
        <w:widowControl/>
        <w:numPr>
          <w:ilvl w:val="0"/>
          <w:numId w:val="3"/>
        </w:numPr>
        <w:tabs>
          <w:tab w:val="left" w:pos="424"/>
        </w:tabs>
        <w:spacing w:line="360" w:lineRule="auto"/>
        <w:ind w:left="0" w:firstLineChars="200" w:firstLine="420"/>
        <w:jc w:val="left"/>
        <w:rPr>
          <w:rFonts w:ascii="宋体" w:hAnsi="宋体" w:cs="宋体" w:hint="eastAsia"/>
          <w:szCs w:val="21"/>
        </w:rPr>
      </w:pPr>
      <w:r>
        <w:rPr>
          <w:rFonts w:ascii="宋体" w:hAnsi="宋体" w:cs="宋体" w:hint="eastAsia"/>
          <w:szCs w:val="21"/>
        </w:rPr>
        <w:t>本项目采用三次付款方式：</w:t>
      </w:r>
    </w:p>
    <w:p w:rsidR="00C3347B" w:rsidRDefault="00C3347B" w:rsidP="00C3347B">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①维保工作开始后10个工作日内，采购人办理合同总额40%的款项支付手续（第一次付款）。</w:t>
      </w:r>
    </w:p>
    <w:p w:rsidR="00C3347B" w:rsidRDefault="00C3347B" w:rsidP="00C3347B">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②维保工作实施满6个月，中标人提交“维保工作半年总结报告”后，采购人在10个工作日内办理合同总额30%的款项支付手续（第二次付款）。</w:t>
      </w:r>
    </w:p>
    <w:p w:rsidR="00C3347B" w:rsidRDefault="00C3347B" w:rsidP="00C3347B">
      <w:pPr>
        <w:spacing w:line="360" w:lineRule="auto"/>
        <w:ind w:firstLineChars="200" w:firstLine="420"/>
        <w:jc w:val="left"/>
        <w:rPr>
          <w:rFonts w:ascii="宋体" w:hAnsi="宋体" w:cs="宋体" w:hint="eastAsia"/>
          <w:szCs w:val="21"/>
        </w:rPr>
      </w:pPr>
      <w:r>
        <w:rPr>
          <w:rFonts w:ascii="宋体" w:hAnsi="宋体" w:cs="宋体" w:hint="eastAsia"/>
          <w:szCs w:val="21"/>
        </w:rPr>
        <w:t xml:space="preserve"> ③中标人完成全部维保服务且提交盖有公章的“维保工作总结报告”，采购人审核确认已完成全部维保服务，项目通过验收后10个工作日内，办理合同总额30%的款项支付手续（第三次付款）。</w:t>
      </w:r>
    </w:p>
    <w:p w:rsidR="00C3347B" w:rsidRDefault="00C3347B" w:rsidP="00C3347B">
      <w:pPr>
        <w:widowControl/>
        <w:numPr>
          <w:ilvl w:val="0"/>
          <w:numId w:val="3"/>
        </w:numPr>
        <w:tabs>
          <w:tab w:val="left" w:pos="424"/>
        </w:tabs>
        <w:spacing w:line="360" w:lineRule="auto"/>
        <w:ind w:left="0" w:firstLineChars="200" w:firstLine="420"/>
        <w:jc w:val="left"/>
        <w:rPr>
          <w:rFonts w:ascii="宋体" w:hAnsi="宋体" w:cs="宋体" w:hint="eastAsia"/>
          <w:szCs w:val="21"/>
        </w:rPr>
      </w:pPr>
      <w:r>
        <w:rPr>
          <w:rFonts w:ascii="宋体" w:hAnsi="宋体" w:cs="宋体" w:hint="eastAsia"/>
          <w:szCs w:val="21"/>
        </w:rPr>
        <w:t>具体付款程序：</w:t>
      </w:r>
    </w:p>
    <w:p w:rsidR="00C3347B" w:rsidRDefault="00C3347B" w:rsidP="00C3347B">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 xml:space="preserve"> ①采购人与同中标人签订合同并收到中标人提交的如下单据后的15个工作日内，向财政部门申请支付相当于合同总额100%的款项给中标人。中标人须提交以下资料：</w:t>
      </w:r>
    </w:p>
    <w:p w:rsidR="00C3347B" w:rsidRDefault="00C3347B" w:rsidP="00C3347B">
      <w:pPr>
        <w:widowControl/>
        <w:numPr>
          <w:ilvl w:val="2"/>
          <w:numId w:val="4"/>
        </w:numPr>
        <w:tabs>
          <w:tab w:val="left" w:pos="424"/>
        </w:tabs>
        <w:spacing w:line="360" w:lineRule="auto"/>
        <w:ind w:left="0" w:firstLineChars="400" w:firstLine="840"/>
        <w:jc w:val="left"/>
        <w:rPr>
          <w:rFonts w:ascii="宋体" w:hAnsi="宋体" w:cs="宋体" w:hint="eastAsia"/>
          <w:szCs w:val="21"/>
        </w:rPr>
      </w:pPr>
      <w:r>
        <w:rPr>
          <w:rFonts w:ascii="宋体" w:hAnsi="宋体" w:cs="宋体" w:hint="eastAsia"/>
          <w:szCs w:val="21"/>
        </w:rPr>
        <w:t>抬头为采购人的相当于合同总额100%的正本普通商业发票；</w:t>
      </w:r>
    </w:p>
    <w:p w:rsidR="00C3347B" w:rsidRDefault="00C3347B" w:rsidP="00C3347B">
      <w:pPr>
        <w:widowControl/>
        <w:numPr>
          <w:ilvl w:val="2"/>
          <w:numId w:val="4"/>
        </w:numPr>
        <w:tabs>
          <w:tab w:val="left" w:pos="424"/>
        </w:tabs>
        <w:spacing w:line="360" w:lineRule="auto"/>
        <w:ind w:left="0" w:firstLineChars="400" w:firstLine="840"/>
        <w:jc w:val="left"/>
        <w:rPr>
          <w:rFonts w:ascii="宋体" w:hAnsi="宋体" w:cs="宋体" w:hint="eastAsia"/>
          <w:szCs w:val="21"/>
        </w:rPr>
      </w:pPr>
      <w:r>
        <w:rPr>
          <w:rFonts w:ascii="宋体" w:hAnsi="宋体" w:cs="宋体" w:hint="eastAsia"/>
          <w:szCs w:val="21"/>
        </w:rPr>
        <w:t>银行保函1（无条件承兑保函）：金额为合同总额的40%，期限为2022年1月31日；</w:t>
      </w:r>
    </w:p>
    <w:p w:rsidR="00C3347B" w:rsidRDefault="00C3347B" w:rsidP="00C3347B">
      <w:pPr>
        <w:widowControl/>
        <w:numPr>
          <w:ilvl w:val="2"/>
          <w:numId w:val="4"/>
        </w:numPr>
        <w:tabs>
          <w:tab w:val="left" w:pos="424"/>
        </w:tabs>
        <w:spacing w:line="360" w:lineRule="auto"/>
        <w:ind w:left="0" w:firstLineChars="400" w:firstLine="840"/>
        <w:jc w:val="left"/>
        <w:rPr>
          <w:rFonts w:ascii="宋体" w:hAnsi="宋体" w:cs="宋体" w:hint="eastAsia"/>
          <w:szCs w:val="21"/>
        </w:rPr>
      </w:pPr>
      <w:r>
        <w:rPr>
          <w:rFonts w:ascii="宋体" w:hAnsi="宋体" w:cs="宋体" w:hint="eastAsia"/>
          <w:szCs w:val="21"/>
        </w:rPr>
        <w:t>银行保函2（无条件承兑保函）：金额为合同总额的30%，期限为2022年8月31日；</w:t>
      </w:r>
    </w:p>
    <w:p w:rsidR="00C3347B" w:rsidRDefault="00C3347B" w:rsidP="00C3347B">
      <w:pPr>
        <w:widowControl/>
        <w:numPr>
          <w:ilvl w:val="2"/>
          <w:numId w:val="4"/>
        </w:numPr>
        <w:tabs>
          <w:tab w:val="left" w:pos="424"/>
        </w:tabs>
        <w:spacing w:line="360" w:lineRule="auto"/>
        <w:ind w:left="0" w:firstLineChars="400" w:firstLine="840"/>
        <w:jc w:val="left"/>
        <w:rPr>
          <w:rFonts w:ascii="宋体" w:hAnsi="宋体" w:cs="宋体" w:hint="eastAsia"/>
          <w:szCs w:val="21"/>
        </w:rPr>
      </w:pPr>
      <w:r>
        <w:rPr>
          <w:rFonts w:ascii="宋体" w:hAnsi="宋体" w:cs="宋体" w:hint="eastAsia"/>
          <w:szCs w:val="21"/>
        </w:rPr>
        <w:t>银行保函3（无条件承兑保函）：金额为合同总额的30%，期限为2023年4月30日。</w:t>
      </w:r>
    </w:p>
    <w:p w:rsidR="00C3347B" w:rsidRDefault="00C3347B" w:rsidP="00C3347B">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②满足第一次付款条件时解除银行保函1。</w:t>
      </w:r>
    </w:p>
    <w:p w:rsidR="00C3347B" w:rsidRDefault="00C3347B" w:rsidP="00C3347B">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③满足第二次付款条件时解除银行保函2。</w:t>
      </w:r>
    </w:p>
    <w:p w:rsidR="00C3347B" w:rsidRDefault="00C3347B" w:rsidP="00C3347B">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④满足第三次付款条件时解除银行保函3。</w:t>
      </w:r>
    </w:p>
    <w:p w:rsidR="00C3347B" w:rsidRDefault="00C3347B" w:rsidP="00C3347B">
      <w:pPr>
        <w:widowControl/>
        <w:numPr>
          <w:ilvl w:val="6"/>
          <w:numId w:val="2"/>
        </w:numPr>
        <w:tabs>
          <w:tab w:val="left" w:pos="424"/>
        </w:tabs>
        <w:spacing w:line="360" w:lineRule="auto"/>
        <w:ind w:left="0" w:firstLineChars="200" w:firstLine="420"/>
        <w:jc w:val="left"/>
        <w:rPr>
          <w:rFonts w:ascii="宋体" w:hAnsi="宋体" w:cs="宋体" w:hint="eastAsia"/>
          <w:szCs w:val="21"/>
        </w:rPr>
      </w:pPr>
      <w:r>
        <w:rPr>
          <w:rFonts w:ascii="宋体" w:hAnsi="宋体" w:cs="宋体" w:hint="eastAsia"/>
          <w:szCs w:val="21"/>
        </w:rPr>
        <w:lastRenderedPageBreak/>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rsidR="00C3347B" w:rsidRDefault="00C3347B" w:rsidP="00C3347B">
      <w:pPr>
        <w:widowControl/>
        <w:numPr>
          <w:ilvl w:val="0"/>
          <w:numId w:val="1"/>
        </w:numPr>
        <w:tabs>
          <w:tab w:val="left" w:pos="424"/>
        </w:tabs>
        <w:spacing w:line="360" w:lineRule="auto"/>
        <w:ind w:firstLineChars="200" w:firstLine="422"/>
        <w:outlineLvl w:val="3"/>
        <w:rPr>
          <w:rFonts w:ascii="宋体" w:hAnsi="宋体" w:cs="宋体" w:hint="eastAsia"/>
          <w:b/>
          <w:szCs w:val="21"/>
        </w:rPr>
      </w:pPr>
      <w:r>
        <w:rPr>
          <w:rFonts w:ascii="宋体" w:hAnsi="宋体" w:cs="宋体" w:hint="eastAsia"/>
          <w:b/>
          <w:szCs w:val="21"/>
        </w:rPr>
        <w:t>验收方式</w:t>
      </w:r>
    </w:p>
    <w:p w:rsidR="00C3347B" w:rsidRDefault="00C3347B" w:rsidP="00C3347B">
      <w:pPr>
        <w:widowControl/>
        <w:numPr>
          <w:ilvl w:val="0"/>
          <w:numId w:val="5"/>
        </w:numPr>
        <w:tabs>
          <w:tab w:val="left" w:pos="424"/>
        </w:tabs>
        <w:spacing w:line="360" w:lineRule="auto"/>
        <w:ind w:left="0" w:firstLineChars="200" w:firstLine="420"/>
        <w:jc w:val="left"/>
        <w:rPr>
          <w:rFonts w:ascii="宋体" w:hAnsi="宋体" w:cs="宋体" w:hint="eastAsia"/>
          <w:szCs w:val="21"/>
        </w:rPr>
      </w:pPr>
      <w:r>
        <w:rPr>
          <w:rFonts w:ascii="宋体" w:hAnsi="宋体" w:cs="宋体" w:hint="eastAsia"/>
          <w:szCs w:val="21"/>
        </w:rPr>
        <w:t>维保工作实施满6个月，中标人提交“维保工作半年总结报告”。</w:t>
      </w:r>
    </w:p>
    <w:p w:rsidR="00C3347B" w:rsidRDefault="00C3347B" w:rsidP="00C3347B">
      <w:pPr>
        <w:widowControl/>
        <w:numPr>
          <w:ilvl w:val="0"/>
          <w:numId w:val="5"/>
        </w:numPr>
        <w:tabs>
          <w:tab w:val="left" w:pos="424"/>
        </w:tabs>
        <w:spacing w:line="360" w:lineRule="auto"/>
        <w:ind w:left="0" w:firstLineChars="200" w:firstLine="420"/>
        <w:jc w:val="left"/>
        <w:rPr>
          <w:rFonts w:ascii="宋体" w:hAnsi="宋体" w:cs="宋体" w:hint="eastAsia"/>
          <w:szCs w:val="21"/>
        </w:rPr>
      </w:pPr>
      <w:r>
        <w:rPr>
          <w:rFonts w:ascii="宋体" w:hAnsi="宋体" w:cs="宋体" w:hint="eastAsia"/>
          <w:szCs w:val="21"/>
        </w:rPr>
        <w:t>中标人完成全部维保服务后提交盖有公章的“维保工作总结报告”，采购人审核确认按合同及招标文件完成全部维保服务后组织专家验收，中标人应做好验收配合工作。</w:t>
      </w:r>
    </w:p>
    <w:p w:rsidR="00C3347B" w:rsidRDefault="00C3347B" w:rsidP="00C3347B">
      <w:pPr>
        <w:widowControl/>
        <w:numPr>
          <w:ilvl w:val="0"/>
          <w:numId w:val="1"/>
        </w:numPr>
        <w:tabs>
          <w:tab w:val="left" w:pos="424"/>
        </w:tabs>
        <w:spacing w:line="360" w:lineRule="auto"/>
        <w:ind w:firstLineChars="200" w:firstLine="422"/>
        <w:outlineLvl w:val="3"/>
        <w:rPr>
          <w:rFonts w:ascii="宋体" w:hAnsi="宋体" w:cs="宋体" w:hint="eastAsia"/>
          <w:b/>
          <w:szCs w:val="21"/>
        </w:rPr>
      </w:pPr>
      <w:r>
        <w:rPr>
          <w:rFonts w:ascii="宋体" w:hAnsi="宋体" w:cs="宋体" w:hint="eastAsia"/>
          <w:b/>
          <w:szCs w:val="21"/>
        </w:rPr>
        <w:t>技术要求</w:t>
      </w:r>
    </w:p>
    <w:p w:rsidR="00C3347B" w:rsidRDefault="00C3347B" w:rsidP="00C3347B">
      <w:pPr>
        <w:widowControl/>
        <w:numPr>
          <w:ilvl w:val="0"/>
          <w:numId w:val="6"/>
        </w:numPr>
        <w:tabs>
          <w:tab w:val="left" w:pos="424"/>
        </w:tabs>
        <w:spacing w:line="360" w:lineRule="auto"/>
        <w:ind w:left="0" w:firstLineChars="200" w:firstLine="420"/>
        <w:jc w:val="left"/>
        <w:rPr>
          <w:rFonts w:ascii="宋体" w:hAnsi="宋体" w:cs="宋体" w:hint="eastAsia"/>
          <w:szCs w:val="21"/>
        </w:rPr>
      </w:pPr>
      <w:r>
        <w:rPr>
          <w:rFonts w:ascii="宋体" w:hAnsi="宋体" w:cs="宋体" w:hint="eastAsia"/>
          <w:szCs w:val="21"/>
        </w:rPr>
        <w:t>响应时间：一般情况下技术服务工程师在故障报修后半天内抵达故障现场；一般故障在报修后一天内维修完毕，恢复正常使用；主要设备损坏需通知业主单位，并做详细维修计划报业主单位批准后进行维修；维保期间内故障及损坏设备不论维修工作是否超出维保期限都需完全修复。</w:t>
      </w:r>
    </w:p>
    <w:p w:rsidR="00C3347B" w:rsidRDefault="00C3347B" w:rsidP="00C3347B">
      <w:pPr>
        <w:widowControl/>
        <w:numPr>
          <w:ilvl w:val="0"/>
          <w:numId w:val="6"/>
        </w:numPr>
        <w:tabs>
          <w:tab w:val="left" w:pos="424"/>
        </w:tabs>
        <w:spacing w:line="360" w:lineRule="auto"/>
        <w:ind w:left="0" w:firstLineChars="200" w:firstLine="420"/>
        <w:jc w:val="left"/>
        <w:rPr>
          <w:rFonts w:ascii="宋体" w:hAnsi="宋体" w:cs="宋体" w:hint="eastAsia"/>
          <w:szCs w:val="21"/>
        </w:rPr>
      </w:pPr>
      <w:r>
        <w:rPr>
          <w:rFonts w:ascii="宋体" w:hAnsi="宋体" w:cs="宋体" w:hint="eastAsia"/>
          <w:szCs w:val="21"/>
        </w:rPr>
        <w:t>系统巡检：要求不少于每年两次，对巡检发现老化部件要更换，定期提交巡检报告，注明更换部件情况。</w:t>
      </w:r>
    </w:p>
    <w:p w:rsidR="00C3347B" w:rsidRDefault="00C3347B" w:rsidP="00C3347B">
      <w:pPr>
        <w:widowControl/>
        <w:numPr>
          <w:ilvl w:val="0"/>
          <w:numId w:val="6"/>
        </w:numPr>
        <w:tabs>
          <w:tab w:val="left" w:pos="424"/>
        </w:tabs>
        <w:spacing w:line="360" w:lineRule="auto"/>
        <w:ind w:left="0" w:firstLineChars="200" w:firstLine="420"/>
        <w:jc w:val="left"/>
        <w:rPr>
          <w:rFonts w:ascii="宋体" w:hAnsi="宋体" w:cs="宋体" w:hint="eastAsia"/>
          <w:szCs w:val="21"/>
        </w:rPr>
      </w:pPr>
      <w:r>
        <w:rPr>
          <w:rFonts w:ascii="宋体" w:hAnsi="宋体" w:cs="宋体" w:hint="eastAsia"/>
          <w:szCs w:val="21"/>
        </w:rPr>
        <w:t>系统设备维修：设备维修后需提供维修报告和设备校准报告，并明确保质期。</w:t>
      </w:r>
    </w:p>
    <w:p w:rsidR="00C3347B" w:rsidRDefault="00C3347B" w:rsidP="00C3347B">
      <w:pPr>
        <w:widowControl/>
        <w:numPr>
          <w:ilvl w:val="0"/>
          <w:numId w:val="6"/>
        </w:numPr>
        <w:tabs>
          <w:tab w:val="left" w:pos="424"/>
        </w:tabs>
        <w:spacing w:line="360" w:lineRule="auto"/>
        <w:ind w:left="0" w:firstLineChars="200" w:firstLine="420"/>
        <w:jc w:val="left"/>
        <w:rPr>
          <w:rFonts w:ascii="宋体" w:hAnsi="宋体" w:cs="宋体" w:hint="eastAsia"/>
          <w:szCs w:val="21"/>
        </w:rPr>
      </w:pPr>
      <w:r>
        <w:rPr>
          <w:rFonts w:ascii="宋体" w:hAnsi="宋体" w:cs="宋体" w:hint="eastAsia"/>
          <w:szCs w:val="21"/>
        </w:rPr>
        <w:t>系统测试及校准：要求每年1次，提交校准报告。</w:t>
      </w:r>
    </w:p>
    <w:p w:rsidR="00C3347B" w:rsidRDefault="00C3347B" w:rsidP="00C3347B">
      <w:pPr>
        <w:widowControl/>
        <w:numPr>
          <w:ilvl w:val="0"/>
          <w:numId w:val="6"/>
        </w:numPr>
        <w:tabs>
          <w:tab w:val="left" w:pos="424"/>
        </w:tabs>
        <w:spacing w:line="360" w:lineRule="auto"/>
        <w:ind w:left="0" w:firstLineChars="200" w:firstLine="420"/>
        <w:jc w:val="left"/>
        <w:rPr>
          <w:rFonts w:ascii="宋体" w:hAnsi="宋体" w:cs="宋体" w:hint="eastAsia"/>
          <w:szCs w:val="21"/>
        </w:rPr>
      </w:pPr>
      <w:r>
        <w:rPr>
          <w:rFonts w:ascii="宋体" w:hAnsi="宋体" w:cs="宋体" w:hint="eastAsia"/>
          <w:szCs w:val="21"/>
        </w:rPr>
        <w:t>在巡检、现场维护和监测站日常监测工作中，发现同一设备（工控机、CPU、内存、网络设备等）数次出现故障，需更换新设备。</w:t>
      </w:r>
    </w:p>
    <w:p w:rsidR="00C3347B" w:rsidRDefault="00C3347B" w:rsidP="00C3347B">
      <w:pPr>
        <w:widowControl/>
        <w:numPr>
          <w:ilvl w:val="0"/>
          <w:numId w:val="6"/>
        </w:numPr>
        <w:tabs>
          <w:tab w:val="left" w:pos="424"/>
        </w:tabs>
        <w:spacing w:line="360" w:lineRule="auto"/>
        <w:ind w:left="0" w:firstLineChars="200" w:firstLine="420"/>
        <w:jc w:val="left"/>
        <w:rPr>
          <w:rFonts w:ascii="宋体" w:hAnsi="宋体" w:cs="宋体" w:hint="eastAsia"/>
          <w:szCs w:val="21"/>
        </w:rPr>
      </w:pPr>
      <w:r>
        <w:rPr>
          <w:rFonts w:ascii="宋体" w:hAnsi="宋体" w:cs="宋体" w:hint="eastAsia"/>
          <w:szCs w:val="21"/>
        </w:rPr>
        <w:t>站点月正常使用率要求保持在90%以上。</w:t>
      </w:r>
    </w:p>
    <w:p w:rsidR="00C3347B" w:rsidRDefault="00C3347B" w:rsidP="00C3347B">
      <w:pPr>
        <w:widowControl/>
        <w:numPr>
          <w:ilvl w:val="0"/>
          <w:numId w:val="6"/>
        </w:numPr>
        <w:tabs>
          <w:tab w:val="left" w:pos="424"/>
        </w:tabs>
        <w:spacing w:line="360" w:lineRule="auto"/>
        <w:ind w:left="0" w:firstLineChars="200" w:firstLine="420"/>
        <w:jc w:val="left"/>
        <w:rPr>
          <w:rFonts w:ascii="宋体" w:hAnsi="宋体" w:cs="宋体" w:hint="eastAsia"/>
          <w:szCs w:val="21"/>
        </w:rPr>
      </w:pPr>
      <w:r>
        <w:rPr>
          <w:rFonts w:ascii="宋体" w:hAnsi="宋体" w:cs="宋体" w:hint="eastAsia"/>
          <w:szCs w:val="21"/>
        </w:rPr>
        <w:t>维护标准按工业和信息化部无线电管理局的《省级无线电监测设施运行维护规定（征求意见稿）》执行，若工业和信息化部无线电管理局发布更新版本，按最新版本执行。</w:t>
      </w:r>
    </w:p>
    <w:p w:rsidR="00C3347B" w:rsidRDefault="00C3347B" w:rsidP="00C3347B">
      <w:pPr>
        <w:widowControl/>
        <w:numPr>
          <w:ilvl w:val="0"/>
          <w:numId w:val="6"/>
        </w:numPr>
        <w:tabs>
          <w:tab w:val="left" w:pos="424"/>
        </w:tabs>
        <w:spacing w:line="360" w:lineRule="auto"/>
        <w:ind w:left="0" w:firstLineChars="200" w:firstLine="420"/>
        <w:jc w:val="left"/>
        <w:rPr>
          <w:rFonts w:ascii="宋体" w:hAnsi="宋体" w:cs="宋体" w:hint="eastAsia"/>
          <w:szCs w:val="21"/>
        </w:rPr>
      </w:pPr>
      <w:r>
        <w:rPr>
          <w:rFonts w:ascii="宋体" w:hAnsi="宋体" w:cs="宋体" w:hint="eastAsia"/>
          <w:szCs w:val="21"/>
        </w:rPr>
        <w:t>站点维修升级改造技术要求：</w:t>
      </w:r>
    </w:p>
    <w:p w:rsidR="00C3347B" w:rsidRDefault="00C3347B" w:rsidP="00C3347B">
      <w:pPr>
        <w:widowControl/>
        <w:tabs>
          <w:tab w:val="left" w:pos="424"/>
        </w:tabs>
        <w:spacing w:line="360" w:lineRule="auto"/>
        <w:ind w:left="420"/>
        <w:jc w:val="left"/>
        <w:rPr>
          <w:rFonts w:ascii="宋体" w:hAnsi="宋体" w:cs="宋体" w:hint="eastAsia"/>
          <w:szCs w:val="21"/>
        </w:rPr>
      </w:pPr>
      <w:r>
        <w:rPr>
          <w:rFonts w:ascii="宋体" w:hAnsi="宋体" w:cs="宋体" w:hint="eastAsia"/>
          <w:szCs w:val="21"/>
        </w:rPr>
        <w:t>1）主要功能：</w:t>
      </w:r>
    </w:p>
    <w:p w:rsidR="00C3347B" w:rsidRDefault="00C3347B" w:rsidP="00C3347B">
      <w:pPr>
        <w:numPr>
          <w:ilvl w:val="0"/>
          <w:numId w:val="7"/>
        </w:numPr>
        <w:spacing w:line="360" w:lineRule="auto"/>
        <w:ind w:left="0" w:firstLineChars="200" w:firstLine="420"/>
        <w:jc w:val="left"/>
        <w:rPr>
          <w:rFonts w:ascii="宋体" w:hAnsi="宋体" w:cs="宋体" w:hint="eastAsia"/>
          <w:bCs/>
          <w:snapToGrid w:val="0"/>
          <w:kern w:val="0"/>
          <w:szCs w:val="21"/>
        </w:rPr>
      </w:pPr>
      <w:r>
        <w:rPr>
          <w:rFonts w:ascii="宋体" w:hAnsi="宋体" w:cs="宋体" w:hint="eastAsia"/>
          <w:bCs/>
          <w:snapToGrid w:val="0"/>
          <w:kern w:val="0"/>
          <w:szCs w:val="21"/>
        </w:rPr>
        <w:t>基本监测功能:频率测量、电平测量、场强和功率通量密度测量、占用带宽测量、频率使用率测量等。</w:t>
      </w:r>
    </w:p>
    <w:p w:rsidR="00C3347B" w:rsidRDefault="00C3347B" w:rsidP="00C3347B">
      <w:pPr>
        <w:numPr>
          <w:ilvl w:val="0"/>
          <w:numId w:val="7"/>
        </w:numPr>
        <w:spacing w:line="360" w:lineRule="auto"/>
        <w:ind w:left="0" w:firstLineChars="200" w:firstLine="420"/>
        <w:jc w:val="left"/>
        <w:rPr>
          <w:rFonts w:ascii="宋体" w:hAnsi="宋体" w:cs="宋体" w:hint="eastAsia"/>
          <w:bCs/>
          <w:snapToGrid w:val="0"/>
          <w:kern w:val="0"/>
          <w:szCs w:val="21"/>
        </w:rPr>
      </w:pPr>
      <w:r>
        <w:rPr>
          <w:rFonts w:ascii="宋体" w:hAnsi="宋体" w:cs="宋体" w:hint="eastAsia"/>
          <w:bCs/>
          <w:snapToGrid w:val="0"/>
          <w:kern w:val="0"/>
          <w:szCs w:val="21"/>
        </w:rPr>
        <w:t>电磁环境测量。</w:t>
      </w:r>
    </w:p>
    <w:p w:rsidR="00C3347B" w:rsidRDefault="00C3347B" w:rsidP="00C3347B">
      <w:pPr>
        <w:numPr>
          <w:ilvl w:val="0"/>
          <w:numId w:val="7"/>
        </w:numPr>
        <w:spacing w:line="360" w:lineRule="auto"/>
        <w:ind w:left="0" w:firstLineChars="200" w:firstLine="420"/>
        <w:jc w:val="left"/>
        <w:rPr>
          <w:rFonts w:ascii="宋体" w:hAnsi="宋体" w:cs="宋体" w:hint="eastAsia"/>
          <w:bCs/>
          <w:snapToGrid w:val="0"/>
          <w:kern w:val="0"/>
          <w:szCs w:val="21"/>
        </w:rPr>
      </w:pPr>
      <w:r>
        <w:rPr>
          <w:rFonts w:ascii="宋体" w:hAnsi="宋体" w:cs="宋体" w:hint="eastAsia"/>
          <w:bCs/>
          <w:snapToGrid w:val="0"/>
          <w:kern w:val="0"/>
          <w:szCs w:val="21"/>
        </w:rPr>
        <w:t>声音广播信号测量。</w:t>
      </w:r>
    </w:p>
    <w:p w:rsidR="00C3347B" w:rsidRDefault="00C3347B" w:rsidP="00C3347B">
      <w:pPr>
        <w:numPr>
          <w:ilvl w:val="0"/>
          <w:numId w:val="7"/>
        </w:numPr>
        <w:spacing w:line="360" w:lineRule="auto"/>
        <w:ind w:left="0" w:firstLineChars="200" w:firstLine="420"/>
        <w:jc w:val="left"/>
        <w:rPr>
          <w:rFonts w:ascii="宋体" w:hAnsi="宋体" w:cs="宋体" w:hint="eastAsia"/>
          <w:bCs/>
          <w:snapToGrid w:val="0"/>
          <w:kern w:val="0"/>
          <w:szCs w:val="21"/>
        </w:rPr>
      </w:pPr>
      <w:r>
        <w:rPr>
          <w:rFonts w:ascii="宋体" w:hAnsi="宋体" w:cs="宋体" w:hint="eastAsia"/>
          <w:bCs/>
          <w:snapToGrid w:val="0"/>
          <w:kern w:val="0"/>
          <w:szCs w:val="21"/>
        </w:rPr>
        <w:lastRenderedPageBreak/>
        <w:t>监测数据存储和处理。</w:t>
      </w:r>
    </w:p>
    <w:p w:rsidR="00C3347B" w:rsidRDefault="00C3347B" w:rsidP="00C3347B">
      <w:pPr>
        <w:numPr>
          <w:ilvl w:val="0"/>
          <w:numId w:val="7"/>
        </w:numPr>
        <w:spacing w:line="360" w:lineRule="auto"/>
        <w:ind w:left="0" w:firstLineChars="200" w:firstLine="420"/>
        <w:jc w:val="left"/>
        <w:rPr>
          <w:rFonts w:ascii="宋体" w:hAnsi="宋体" w:cs="宋体" w:hint="eastAsia"/>
          <w:bCs/>
          <w:snapToGrid w:val="0"/>
          <w:kern w:val="0"/>
          <w:szCs w:val="21"/>
        </w:rPr>
      </w:pPr>
      <w:r>
        <w:rPr>
          <w:rFonts w:ascii="宋体" w:hAnsi="宋体" w:cs="宋体" w:hint="eastAsia"/>
          <w:bCs/>
          <w:snapToGrid w:val="0"/>
          <w:kern w:val="0"/>
          <w:szCs w:val="21"/>
        </w:rPr>
        <w:t>系统遥控和联网。</w:t>
      </w:r>
    </w:p>
    <w:p w:rsidR="00C3347B" w:rsidRDefault="00C3347B" w:rsidP="00C3347B">
      <w:pPr>
        <w:numPr>
          <w:ilvl w:val="0"/>
          <w:numId w:val="7"/>
        </w:numPr>
        <w:spacing w:line="360" w:lineRule="auto"/>
        <w:ind w:left="0" w:firstLineChars="200" w:firstLine="420"/>
        <w:jc w:val="left"/>
        <w:rPr>
          <w:rFonts w:ascii="宋体" w:hAnsi="宋体" w:cs="宋体" w:hint="eastAsia"/>
          <w:bCs/>
          <w:snapToGrid w:val="0"/>
          <w:kern w:val="0"/>
          <w:szCs w:val="21"/>
        </w:rPr>
      </w:pPr>
      <w:r>
        <w:rPr>
          <w:rFonts w:ascii="宋体" w:hAnsi="宋体" w:cs="宋体" w:hint="eastAsia"/>
          <w:bCs/>
          <w:snapToGrid w:val="0"/>
          <w:kern w:val="0"/>
          <w:szCs w:val="21"/>
        </w:rPr>
        <w:t>系统自检。</w:t>
      </w:r>
    </w:p>
    <w:p w:rsidR="00C3347B" w:rsidRDefault="00C3347B" w:rsidP="00C3347B">
      <w:pPr>
        <w:spacing w:line="360" w:lineRule="auto"/>
        <w:ind w:left="420"/>
        <w:jc w:val="left"/>
        <w:rPr>
          <w:rFonts w:ascii="宋体" w:hAnsi="宋体" w:cs="宋体" w:hint="eastAsia"/>
          <w:bCs/>
          <w:snapToGrid w:val="0"/>
          <w:kern w:val="0"/>
          <w:szCs w:val="21"/>
        </w:rPr>
      </w:pPr>
      <w:r>
        <w:rPr>
          <w:rFonts w:ascii="宋体" w:hAnsi="宋体" w:cs="宋体" w:hint="eastAsia"/>
          <w:bCs/>
          <w:snapToGrid w:val="0"/>
          <w:kern w:val="0"/>
          <w:szCs w:val="21"/>
        </w:rPr>
        <w:t>2）</w:t>
      </w:r>
      <w:r>
        <w:rPr>
          <w:rFonts w:ascii="宋体" w:hAnsi="宋体" w:cs="宋体" w:hint="eastAsia"/>
          <w:szCs w:val="21"/>
        </w:rPr>
        <w:t>监测接收模块性能指标：</w:t>
      </w:r>
    </w:p>
    <w:p w:rsidR="00C3347B" w:rsidRDefault="00C3347B" w:rsidP="00C3347B">
      <w:pPr>
        <w:spacing w:line="360" w:lineRule="auto"/>
        <w:ind w:firstLineChars="200" w:firstLine="420"/>
        <w:jc w:val="left"/>
        <w:rPr>
          <w:rFonts w:ascii="宋体" w:hAnsi="宋体" w:cs="宋体" w:hint="eastAsia"/>
          <w:bCs/>
          <w:snapToGrid w:val="0"/>
          <w:kern w:val="0"/>
          <w:szCs w:val="21"/>
        </w:rPr>
      </w:pPr>
      <w:r>
        <w:rPr>
          <w:rFonts w:ascii="宋体" w:hAnsi="宋体" w:cs="宋体" w:hint="eastAsia"/>
          <w:szCs w:val="21"/>
        </w:rPr>
        <w:t>▲</w:t>
      </w:r>
      <w:r>
        <w:rPr>
          <w:rFonts w:ascii="宋体" w:hAnsi="宋体" w:cs="宋体" w:hint="eastAsia"/>
          <w:bCs/>
          <w:snapToGrid w:val="0"/>
          <w:kern w:val="0"/>
          <w:szCs w:val="21"/>
        </w:rPr>
        <w:t>监测频率范围：20-6000MHz</w:t>
      </w:r>
    </w:p>
    <w:p w:rsidR="00C3347B" w:rsidRDefault="00C3347B" w:rsidP="00C3347B">
      <w:pPr>
        <w:spacing w:line="360" w:lineRule="auto"/>
        <w:ind w:firstLineChars="200" w:firstLine="420"/>
        <w:jc w:val="left"/>
        <w:rPr>
          <w:rFonts w:ascii="宋体" w:hAnsi="宋体" w:cs="宋体" w:hint="eastAsia"/>
          <w:bCs/>
          <w:snapToGrid w:val="0"/>
          <w:kern w:val="0"/>
          <w:szCs w:val="21"/>
        </w:rPr>
      </w:pPr>
      <w:r>
        <w:rPr>
          <w:rFonts w:ascii="宋体" w:hAnsi="宋体" w:cs="宋体" w:hint="eastAsia"/>
          <w:szCs w:val="21"/>
        </w:rPr>
        <w:t>▲</w:t>
      </w:r>
      <w:r>
        <w:rPr>
          <w:rFonts w:ascii="宋体" w:hAnsi="宋体" w:cs="宋体" w:hint="eastAsia"/>
          <w:bCs/>
          <w:snapToGrid w:val="0"/>
          <w:kern w:val="0"/>
          <w:szCs w:val="21"/>
        </w:rPr>
        <w:t>频率稳定度：≤±1×10</w:t>
      </w:r>
      <w:r>
        <w:rPr>
          <w:rFonts w:ascii="宋体" w:hAnsi="宋体" w:cs="宋体" w:hint="eastAsia"/>
          <w:bCs/>
          <w:snapToGrid w:val="0"/>
          <w:kern w:val="0"/>
          <w:szCs w:val="21"/>
          <w:vertAlign w:val="superscript"/>
        </w:rPr>
        <w:t>-4</w:t>
      </w:r>
      <w:r>
        <w:rPr>
          <w:rFonts w:ascii="宋体" w:hAnsi="宋体" w:cs="宋体" w:hint="eastAsia"/>
          <w:bCs/>
          <w:snapToGrid w:val="0"/>
          <w:kern w:val="0"/>
          <w:szCs w:val="21"/>
        </w:rPr>
        <w:t xml:space="preserve"> </w:t>
      </w:r>
    </w:p>
    <w:p w:rsidR="00C3347B" w:rsidRDefault="00C3347B" w:rsidP="00C3347B">
      <w:pPr>
        <w:spacing w:line="360" w:lineRule="auto"/>
        <w:ind w:firstLineChars="200" w:firstLine="420"/>
        <w:jc w:val="left"/>
        <w:rPr>
          <w:rFonts w:ascii="宋体" w:hAnsi="宋体" w:cs="宋体" w:hint="eastAsia"/>
          <w:bCs/>
          <w:snapToGrid w:val="0"/>
          <w:kern w:val="0"/>
          <w:szCs w:val="21"/>
        </w:rPr>
      </w:pPr>
      <w:r>
        <w:rPr>
          <w:rFonts w:ascii="宋体" w:hAnsi="宋体" w:cs="宋体" w:hint="eastAsia"/>
          <w:szCs w:val="21"/>
        </w:rPr>
        <w:t>▲</w:t>
      </w:r>
      <w:r>
        <w:rPr>
          <w:rFonts w:ascii="宋体" w:hAnsi="宋体" w:cs="宋体" w:hint="eastAsia"/>
          <w:bCs/>
          <w:snapToGrid w:val="0"/>
          <w:kern w:val="0"/>
          <w:szCs w:val="21"/>
        </w:rPr>
        <w:t>相位噪声（fc=1GHz）：≤-90dBc/Hz@10kHz</w:t>
      </w:r>
    </w:p>
    <w:p w:rsidR="00C3347B" w:rsidRDefault="00C3347B" w:rsidP="00C3347B">
      <w:pPr>
        <w:spacing w:line="360" w:lineRule="auto"/>
        <w:ind w:firstLineChars="200" w:firstLine="420"/>
        <w:jc w:val="left"/>
        <w:rPr>
          <w:rFonts w:ascii="宋体" w:hAnsi="宋体" w:cs="宋体" w:hint="eastAsia"/>
          <w:bCs/>
          <w:snapToGrid w:val="0"/>
          <w:kern w:val="0"/>
          <w:szCs w:val="21"/>
        </w:rPr>
      </w:pPr>
      <w:r>
        <w:rPr>
          <w:rFonts w:ascii="宋体" w:hAnsi="宋体" w:cs="宋体" w:hint="eastAsia"/>
          <w:szCs w:val="21"/>
        </w:rPr>
        <w:t>▲</w:t>
      </w:r>
      <w:r>
        <w:rPr>
          <w:rFonts w:ascii="宋体" w:hAnsi="宋体" w:cs="宋体" w:hint="eastAsia"/>
          <w:bCs/>
          <w:snapToGrid w:val="0"/>
          <w:kern w:val="0"/>
          <w:szCs w:val="21"/>
        </w:rPr>
        <w:t>实时中频带宽：≥20MHz</w:t>
      </w:r>
    </w:p>
    <w:p w:rsidR="00C3347B" w:rsidRDefault="00C3347B" w:rsidP="00C3347B">
      <w:pPr>
        <w:spacing w:line="360" w:lineRule="auto"/>
        <w:ind w:firstLineChars="200" w:firstLine="420"/>
        <w:jc w:val="left"/>
        <w:rPr>
          <w:rFonts w:ascii="宋体" w:hAnsi="宋体" w:cs="宋体" w:hint="eastAsia"/>
          <w:bCs/>
          <w:snapToGrid w:val="0"/>
          <w:kern w:val="0"/>
          <w:szCs w:val="21"/>
        </w:rPr>
      </w:pPr>
      <w:r>
        <w:rPr>
          <w:rFonts w:ascii="宋体" w:hAnsi="宋体" w:cs="宋体" w:hint="eastAsia"/>
          <w:szCs w:val="21"/>
        </w:rPr>
        <w:t>▲</w:t>
      </w:r>
      <w:r>
        <w:rPr>
          <w:rFonts w:ascii="宋体" w:hAnsi="宋体" w:cs="宋体" w:hint="eastAsia"/>
          <w:bCs/>
          <w:snapToGrid w:val="0"/>
          <w:kern w:val="0"/>
          <w:szCs w:val="21"/>
        </w:rPr>
        <w:t>噪声系数（实时带宽20MHz）：≤20dB</w:t>
      </w:r>
    </w:p>
    <w:p w:rsidR="00C3347B" w:rsidRDefault="00C3347B" w:rsidP="00C3347B">
      <w:pPr>
        <w:spacing w:line="360" w:lineRule="auto"/>
        <w:ind w:firstLineChars="200" w:firstLine="420"/>
        <w:jc w:val="left"/>
        <w:rPr>
          <w:rFonts w:ascii="宋体" w:hAnsi="宋体" w:cs="宋体" w:hint="eastAsia"/>
          <w:bCs/>
          <w:snapToGrid w:val="0"/>
          <w:kern w:val="0"/>
          <w:szCs w:val="21"/>
        </w:rPr>
      </w:pPr>
      <w:r>
        <w:rPr>
          <w:rFonts w:ascii="宋体" w:hAnsi="宋体" w:cs="宋体" w:hint="eastAsia"/>
          <w:szCs w:val="21"/>
        </w:rPr>
        <w:t>▲</w:t>
      </w:r>
      <w:r>
        <w:rPr>
          <w:rFonts w:ascii="宋体" w:hAnsi="宋体" w:cs="宋体" w:hint="eastAsia"/>
          <w:bCs/>
          <w:snapToGrid w:val="0"/>
          <w:kern w:val="0"/>
          <w:szCs w:val="21"/>
        </w:rPr>
        <w:t>监测灵敏度：≤15dBμV/m（20-3000MHz）；≤20dBμV/m（3-6GHz）</w:t>
      </w:r>
    </w:p>
    <w:p w:rsidR="00C3347B" w:rsidRDefault="00C3347B" w:rsidP="00C3347B">
      <w:pPr>
        <w:spacing w:line="360" w:lineRule="auto"/>
        <w:ind w:firstLineChars="200" w:firstLine="420"/>
        <w:jc w:val="left"/>
        <w:rPr>
          <w:rFonts w:ascii="宋体" w:hAnsi="宋体" w:cs="宋体" w:hint="eastAsia"/>
          <w:bCs/>
          <w:snapToGrid w:val="0"/>
          <w:kern w:val="0"/>
          <w:szCs w:val="21"/>
        </w:rPr>
      </w:pPr>
      <w:r>
        <w:rPr>
          <w:rFonts w:ascii="宋体" w:hAnsi="宋体" w:cs="宋体" w:hint="eastAsia"/>
          <w:szCs w:val="21"/>
        </w:rPr>
        <w:t>▲</w:t>
      </w:r>
      <w:r>
        <w:rPr>
          <w:rFonts w:ascii="宋体" w:hAnsi="宋体" w:cs="宋体" w:hint="eastAsia"/>
          <w:bCs/>
          <w:snapToGrid w:val="0"/>
          <w:kern w:val="0"/>
          <w:szCs w:val="21"/>
        </w:rPr>
        <w:t>扫描速度：≥10GHz/s</w:t>
      </w:r>
    </w:p>
    <w:p w:rsidR="00C3347B" w:rsidRDefault="00C3347B" w:rsidP="00C3347B">
      <w:pPr>
        <w:spacing w:line="360" w:lineRule="auto"/>
        <w:ind w:firstLineChars="200" w:firstLine="420"/>
        <w:jc w:val="left"/>
        <w:rPr>
          <w:rFonts w:ascii="宋体" w:hAnsi="宋体" w:cs="宋体" w:hint="eastAsia"/>
          <w:bCs/>
          <w:snapToGrid w:val="0"/>
          <w:kern w:val="0"/>
          <w:szCs w:val="21"/>
        </w:rPr>
      </w:pPr>
      <w:r>
        <w:rPr>
          <w:rFonts w:ascii="宋体" w:hAnsi="宋体" w:cs="宋体" w:hint="eastAsia"/>
          <w:szCs w:val="21"/>
        </w:rPr>
        <w:t>▲</w:t>
      </w:r>
      <w:r>
        <w:rPr>
          <w:rFonts w:ascii="宋体" w:hAnsi="宋体" w:cs="宋体" w:hint="eastAsia"/>
          <w:bCs/>
          <w:snapToGrid w:val="0"/>
          <w:kern w:val="0"/>
          <w:szCs w:val="21"/>
        </w:rPr>
        <w:t>二阶截断点(低失真模式，中频带宽20MHz)：≥30dBm</w:t>
      </w:r>
    </w:p>
    <w:p w:rsidR="00C3347B" w:rsidRDefault="00C3347B" w:rsidP="00C3347B">
      <w:pPr>
        <w:spacing w:line="360" w:lineRule="auto"/>
        <w:ind w:firstLineChars="200" w:firstLine="420"/>
        <w:jc w:val="left"/>
        <w:rPr>
          <w:rFonts w:ascii="宋体" w:hAnsi="宋体" w:cs="宋体" w:hint="eastAsia"/>
          <w:bCs/>
          <w:snapToGrid w:val="0"/>
          <w:kern w:val="0"/>
          <w:szCs w:val="21"/>
        </w:rPr>
      </w:pPr>
      <w:r>
        <w:rPr>
          <w:rFonts w:ascii="宋体" w:hAnsi="宋体" w:cs="宋体" w:hint="eastAsia"/>
          <w:szCs w:val="21"/>
        </w:rPr>
        <w:t>▲</w:t>
      </w:r>
      <w:r>
        <w:rPr>
          <w:rFonts w:ascii="宋体" w:hAnsi="宋体" w:cs="宋体" w:hint="eastAsia"/>
          <w:bCs/>
          <w:snapToGrid w:val="0"/>
          <w:kern w:val="0"/>
          <w:szCs w:val="21"/>
        </w:rPr>
        <w:t>三阶截断点(低失真模式，中频带宽20MHz)：≥0dBm</w:t>
      </w:r>
    </w:p>
    <w:p w:rsidR="00C3347B" w:rsidRDefault="00C3347B" w:rsidP="00C3347B">
      <w:pPr>
        <w:spacing w:line="360" w:lineRule="auto"/>
        <w:ind w:firstLineChars="200" w:firstLine="420"/>
        <w:jc w:val="left"/>
        <w:rPr>
          <w:rFonts w:ascii="宋体" w:hAnsi="宋体" w:cs="宋体" w:hint="eastAsia"/>
          <w:bCs/>
          <w:snapToGrid w:val="0"/>
          <w:kern w:val="0"/>
          <w:szCs w:val="21"/>
        </w:rPr>
      </w:pPr>
      <w:r>
        <w:rPr>
          <w:rFonts w:ascii="宋体" w:hAnsi="宋体" w:cs="宋体" w:hint="eastAsia"/>
          <w:szCs w:val="21"/>
        </w:rPr>
        <w:t>▲</w:t>
      </w:r>
      <w:r>
        <w:rPr>
          <w:rFonts w:ascii="宋体" w:hAnsi="宋体" w:cs="宋体" w:hint="eastAsia"/>
          <w:bCs/>
          <w:snapToGrid w:val="0"/>
          <w:kern w:val="0"/>
          <w:szCs w:val="21"/>
        </w:rPr>
        <w:t>中频/镜像抑制：≥90dB</w:t>
      </w:r>
    </w:p>
    <w:p w:rsidR="00C3347B" w:rsidRDefault="00C3347B" w:rsidP="00C3347B">
      <w:pPr>
        <w:spacing w:line="360" w:lineRule="auto"/>
        <w:ind w:firstLineChars="200" w:firstLine="420"/>
        <w:jc w:val="left"/>
        <w:rPr>
          <w:rFonts w:ascii="宋体" w:hAnsi="宋体" w:cs="宋体" w:hint="eastAsia"/>
          <w:bCs/>
          <w:snapToGrid w:val="0"/>
          <w:kern w:val="0"/>
          <w:szCs w:val="21"/>
        </w:rPr>
      </w:pPr>
      <w:r>
        <w:rPr>
          <w:rFonts w:ascii="宋体" w:hAnsi="宋体" w:cs="宋体" w:hint="eastAsia"/>
          <w:bCs/>
          <w:snapToGrid w:val="0"/>
          <w:kern w:val="0"/>
          <w:szCs w:val="21"/>
        </w:rPr>
        <w:t>3）其他要求</w:t>
      </w:r>
    </w:p>
    <w:p w:rsidR="00C3347B" w:rsidRDefault="00C3347B" w:rsidP="00C3347B">
      <w:pPr>
        <w:spacing w:line="360" w:lineRule="auto"/>
        <w:ind w:firstLineChars="200" w:firstLine="420"/>
        <w:jc w:val="left"/>
        <w:rPr>
          <w:rFonts w:ascii="宋体" w:hAnsi="宋体" w:cs="宋体" w:hint="eastAsia"/>
          <w:bCs/>
          <w:snapToGrid w:val="0"/>
          <w:kern w:val="0"/>
          <w:szCs w:val="21"/>
        </w:rPr>
      </w:pPr>
      <w:r>
        <w:rPr>
          <w:rFonts w:ascii="宋体" w:hAnsi="宋体" w:cs="宋体" w:hint="eastAsia"/>
          <w:bCs/>
          <w:snapToGrid w:val="0"/>
          <w:kern w:val="0"/>
          <w:szCs w:val="21"/>
        </w:rPr>
        <w:t>满足《超短波监测管理一体化平台技术规范》YD/T 3700-2020系列规范，支持原子服务，提供原子服务封装。</w:t>
      </w:r>
    </w:p>
    <w:p w:rsidR="00C3347B" w:rsidRDefault="00C3347B" w:rsidP="00C3347B">
      <w:pPr>
        <w:spacing w:line="360" w:lineRule="auto"/>
        <w:ind w:firstLineChars="200" w:firstLine="420"/>
        <w:jc w:val="left"/>
        <w:rPr>
          <w:rFonts w:ascii="宋体" w:hAnsi="宋体" w:cs="宋体" w:hint="eastAsia"/>
          <w:bCs/>
          <w:snapToGrid w:val="0"/>
          <w:kern w:val="0"/>
          <w:szCs w:val="21"/>
        </w:rPr>
      </w:pPr>
      <w:r>
        <w:rPr>
          <w:rFonts w:ascii="宋体" w:hAnsi="宋体" w:cs="宋体" w:hint="eastAsia"/>
          <w:bCs/>
          <w:snapToGrid w:val="0"/>
          <w:kern w:val="0"/>
          <w:szCs w:val="21"/>
        </w:rPr>
        <w:t>中标人向用户方提供包括维修和升级改造工作必须的配件并完成系统安装、提供培训和维护服务的全部内容。</w:t>
      </w:r>
    </w:p>
    <w:p w:rsidR="00C3347B" w:rsidRDefault="00C3347B" w:rsidP="00C3347B">
      <w:pPr>
        <w:spacing w:line="360" w:lineRule="auto"/>
        <w:ind w:firstLineChars="200" w:firstLine="420"/>
        <w:jc w:val="left"/>
        <w:rPr>
          <w:rFonts w:ascii="宋体" w:hAnsi="宋体" w:cs="宋体" w:hint="eastAsia"/>
          <w:bCs/>
          <w:snapToGrid w:val="0"/>
          <w:kern w:val="0"/>
          <w:szCs w:val="21"/>
        </w:rPr>
      </w:pPr>
      <w:r>
        <w:rPr>
          <w:rFonts w:ascii="宋体" w:hAnsi="宋体" w:cs="宋体" w:hint="eastAsia"/>
          <w:bCs/>
          <w:snapToGrid w:val="0"/>
          <w:kern w:val="0"/>
          <w:szCs w:val="21"/>
        </w:rPr>
        <w:t>中标人需提供升级改造模块性能的第三方测试报告，标明达到招标文件要求和产品技术规格中的性能，如发现性能指标或功能上不符合招标文件和合同时，将被看作不合格，用户有权拒收并要求赔偿。</w:t>
      </w:r>
    </w:p>
    <w:p w:rsidR="00C3347B" w:rsidRDefault="00C3347B" w:rsidP="00C3347B">
      <w:pPr>
        <w:spacing w:line="360" w:lineRule="auto"/>
        <w:ind w:firstLineChars="200" w:firstLine="420"/>
        <w:jc w:val="left"/>
        <w:rPr>
          <w:rFonts w:ascii="宋体" w:hAnsi="宋体" w:cs="宋体" w:hint="eastAsia"/>
          <w:bCs/>
          <w:snapToGrid w:val="0"/>
          <w:kern w:val="0"/>
          <w:szCs w:val="21"/>
        </w:rPr>
      </w:pPr>
      <w:r>
        <w:rPr>
          <w:rFonts w:ascii="宋体" w:hAnsi="宋体" w:cs="宋体" w:hint="eastAsia"/>
          <w:bCs/>
          <w:snapToGrid w:val="0"/>
          <w:kern w:val="0"/>
          <w:szCs w:val="21"/>
        </w:rPr>
        <w:t>固定监测站电源系统、防雷接地系统、站址选择等方面要求见《无线电监测机房及配套设施建设规范》。</w:t>
      </w:r>
    </w:p>
    <w:p w:rsidR="00C3347B" w:rsidRDefault="00C3347B" w:rsidP="00C3347B">
      <w:pPr>
        <w:spacing w:line="360" w:lineRule="auto"/>
        <w:ind w:firstLineChars="200" w:firstLine="420"/>
        <w:jc w:val="left"/>
        <w:rPr>
          <w:rFonts w:ascii="宋体" w:hAnsi="宋体" w:cs="宋体" w:hint="eastAsia"/>
          <w:bCs/>
          <w:snapToGrid w:val="0"/>
          <w:kern w:val="0"/>
          <w:szCs w:val="21"/>
        </w:rPr>
      </w:pPr>
      <w:r>
        <w:rPr>
          <w:rFonts w:ascii="宋体" w:hAnsi="宋体" w:cs="宋体" w:hint="eastAsia"/>
          <w:bCs/>
          <w:snapToGrid w:val="0"/>
          <w:kern w:val="0"/>
          <w:szCs w:val="21"/>
        </w:rPr>
        <w:t>固定监测站应具备7x24小时连续工作能力；应定期进行测试验证和维护，保证性能指标符合要求；可通过网络远程监控固定站监测设备、软件系统、动力环境、网络、存储系统等状态:出现故障应及时排除，并做好故障和维修记录。</w:t>
      </w:r>
    </w:p>
    <w:p w:rsidR="00C3347B" w:rsidRDefault="00C3347B" w:rsidP="00C3347B">
      <w:pPr>
        <w:widowControl/>
        <w:numPr>
          <w:ilvl w:val="0"/>
          <w:numId w:val="1"/>
        </w:numPr>
        <w:tabs>
          <w:tab w:val="left" w:pos="424"/>
        </w:tabs>
        <w:spacing w:line="360" w:lineRule="auto"/>
        <w:ind w:firstLineChars="200" w:firstLine="422"/>
        <w:outlineLvl w:val="3"/>
        <w:rPr>
          <w:rFonts w:ascii="宋体" w:hAnsi="宋体" w:cs="宋体" w:hint="eastAsia"/>
          <w:b/>
          <w:szCs w:val="21"/>
        </w:rPr>
      </w:pPr>
      <w:r>
        <w:rPr>
          <w:rFonts w:ascii="宋体" w:hAnsi="宋体" w:cs="宋体" w:hint="eastAsia"/>
          <w:b/>
          <w:szCs w:val="21"/>
        </w:rPr>
        <w:t>服务承诺</w:t>
      </w:r>
    </w:p>
    <w:p w:rsidR="00C3347B" w:rsidRDefault="00C3347B" w:rsidP="00C3347B">
      <w:pPr>
        <w:numPr>
          <w:ilvl w:val="6"/>
          <w:numId w:val="8"/>
        </w:numPr>
        <w:spacing w:line="360" w:lineRule="auto"/>
        <w:ind w:left="0" w:firstLineChars="200" w:firstLine="420"/>
        <w:jc w:val="left"/>
        <w:rPr>
          <w:rFonts w:ascii="宋体" w:hAnsi="宋体" w:cs="宋体" w:hint="eastAsia"/>
          <w:szCs w:val="21"/>
        </w:rPr>
      </w:pPr>
      <w:r>
        <w:rPr>
          <w:rFonts w:ascii="宋体" w:hAnsi="宋体" w:cs="宋体" w:hint="eastAsia"/>
          <w:szCs w:val="21"/>
        </w:rPr>
        <w:t>中标人必须遵守监测站内部各项规章制度和内部操作规程，履行保密义务，签署保密协议，未经批准不得以任何理由泄露任何保密信息或内部资料。</w:t>
      </w:r>
    </w:p>
    <w:p w:rsidR="00C3347B" w:rsidRDefault="00C3347B" w:rsidP="00C3347B">
      <w:pPr>
        <w:numPr>
          <w:ilvl w:val="6"/>
          <w:numId w:val="8"/>
        </w:numPr>
        <w:spacing w:line="360" w:lineRule="auto"/>
        <w:ind w:left="0" w:firstLineChars="200" w:firstLine="420"/>
        <w:jc w:val="left"/>
        <w:rPr>
          <w:rFonts w:ascii="宋体" w:hAnsi="宋体" w:cs="宋体" w:hint="eastAsia"/>
          <w:szCs w:val="21"/>
        </w:rPr>
      </w:pPr>
      <w:r>
        <w:rPr>
          <w:rFonts w:ascii="宋体" w:hAnsi="宋体" w:cs="宋体" w:hint="eastAsia"/>
          <w:szCs w:val="21"/>
        </w:rPr>
        <w:lastRenderedPageBreak/>
        <w:t>维护工作必须做足安全措施，符合工作安全要求，在维护过程中的人员、财产安全责任全部由中标人负责。</w:t>
      </w:r>
    </w:p>
    <w:p w:rsidR="00C3347B" w:rsidRDefault="00C3347B" w:rsidP="00C3347B">
      <w:pPr>
        <w:numPr>
          <w:ilvl w:val="6"/>
          <w:numId w:val="8"/>
        </w:numPr>
        <w:spacing w:line="360" w:lineRule="auto"/>
        <w:ind w:left="0" w:firstLineChars="200" w:firstLine="420"/>
        <w:jc w:val="left"/>
        <w:rPr>
          <w:rFonts w:ascii="宋体" w:hAnsi="宋体" w:cs="宋体" w:hint="eastAsia"/>
          <w:szCs w:val="21"/>
        </w:rPr>
      </w:pPr>
      <w:r>
        <w:rPr>
          <w:rFonts w:ascii="宋体" w:hAnsi="宋体" w:cs="宋体" w:hint="eastAsia"/>
          <w:szCs w:val="21"/>
        </w:rPr>
        <w:t>维护人员必须遵守机房所在地物业管理规定，若造成第三方财产损失全部由中标人负责。</w:t>
      </w:r>
    </w:p>
    <w:p w:rsidR="00C3347B" w:rsidRDefault="00C3347B" w:rsidP="00C3347B">
      <w:pPr>
        <w:numPr>
          <w:ilvl w:val="6"/>
          <w:numId w:val="8"/>
        </w:numPr>
        <w:spacing w:line="360" w:lineRule="auto"/>
        <w:ind w:left="0" w:firstLineChars="200" w:firstLine="420"/>
        <w:jc w:val="left"/>
        <w:rPr>
          <w:rFonts w:ascii="宋体" w:hAnsi="宋体" w:cs="宋体" w:hint="eastAsia"/>
          <w:bCs/>
          <w:szCs w:val="21"/>
        </w:rPr>
      </w:pPr>
      <w:r>
        <w:rPr>
          <w:rFonts w:ascii="宋体" w:hAnsi="宋体" w:cs="宋体" w:hint="eastAsia"/>
          <w:szCs w:val="21"/>
        </w:rPr>
        <w:t>中标人明确维护服务小组的组织结构、岗位设置和人员安排，并提供维护人员信息供采购人备案。投标人需保证维护实施人员充足，队伍稳定。</w:t>
      </w:r>
    </w:p>
    <w:p w:rsidR="00C3347B" w:rsidRDefault="00C3347B" w:rsidP="00C3347B">
      <w:pPr>
        <w:numPr>
          <w:ilvl w:val="6"/>
          <w:numId w:val="8"/>
        </w:numPr>
        <w:spacing w:line="360" w:lineRule="auto"/>
        <w:ind w:left="0" w:firstLineChars="200" w:firstLine="420"/>
        <w:jc w:val="left"/>
        <w:rPr>
          <w:rFonts w:ascii="宋体" w:hAnsi="宋体" w:cs="宋体" w:hint="eastAsia"/>
          <w:szCs w:val="21"/>
        </w:rPr>
      </w:pPr>
      <w:r>
        <w:rPr>
          <w:rFonts w:ascii="宋体" w:hAnsi="宋体" w:cs="宋体" w:hint="eastAsia"/>
          <w:szCs w:val="21"/>
        </w:rPr>
        <w:t>中标人负责对采购人使用及维护人员进行相关的技术培训。</w:t>
      </w:r>
    </w:p>
    <w:p w:rsidR="00C3347B" w:rsidRDefault="00C3347B" w:rsidP="00C3347B">
      <w:pPr>
        <w:numPr>
          <w:ilvl w:val="6"/>
          <w:numId w:val="8"/>
        </w:numPr>
        <w:spacing w:line="360" w:lineRule="auto"/>
        <w:ind w:left="0" w:firstLineChars="200" w:firstLine="420"/>
        <w:jc w:val="left"/>
        <w:rPr>
          <w:rFonts w:ascii="宋体" w:hAnsi="宋体" w:cs="宋体" w:hint="eastAsia"/>
          <w:bCs/>
          <w:szCs w:val="21"/>
        </w:rPr>
      </w:pPr>
      <w:r>
        <w:rPr>
          <w:rFonts w:ascii="宋体" w:hAnsi="宋体" w:cs="宋体" w:hint="eastAsia"/>
          <w:bCs/>
          <w:szCs w:val="21"/>
        </w:rPr>
        <w:t>需要维护的主设备指监测接收机或测向机，要求根据广东省航空监测网实际情况，</w:t>
      </w:r>
      <w:r>
        <w:rPr>
          <w:rFonts w:ascii="宋体" w:hAnsi="宋体" w:cs="宋体" w:hint="eastAsia"/>
          <w:bCs/>
          <w:szCs w:val="21"/>
          <w:lang w:val="zh-CN"/>
        </w:rPr>
        <w:t>投标人必须</w:t>
      </w:r>
      <w:r>
        <w:rPr>
          <w:rFonts w:ascii="宋体" w:hAnsi="宋体" w:cs="宋体" w:hint="eastAsia"/>
          <w:bCs/>
          <w:szCs w:val="21"/>
        </w:rPr>
        <w:t>提供需要维护的主设备原厂商</w:t>
      </w:r>
      <w:r>
        <w:rPr>
          <w:rStyle w:val="a4"/>
          <w:rFonts w:ascii="宋体" w:hAnsi="宋体" w:cs="宋体" w:hint="eastAsia"/>
          <w:bCs/>
        </w:rPr>
        <w:t>(</w:t>
      </w:r>
      <w:r>
        <w:rPr>
          <w:rFonts w:ascii="宋体" w:hAnsi="宋体" w:cs="宋体" w:hint="eastAsia"/>
          <w:bCs/>
          <w:szCs w:val="21"/>
        </w:rPr>
        <w:t>成都大公博创信息技术有限公司、</w:t>
      </w:r>
      <w:r>
        <w:rPr>
          <w:rStyle w:val="a4"/>
          <w:rFonts w:ascii="宋体" w:hAnsi="宋体" w:cs="宋体" w:hint="eastAsia"/>
          <w:bCs/>
        </w:rPr>
        <w:t>罗德与施瓦茨（中国）科技有限公司)</w:t>
      </w:r>
      <w:r>
        <w:rPr>
          <w:rFonts w:ascii="宋体" w:hAnsi="宋体" w:cs="宋体" w:hint="eastAsia"/>
          <w:bCs/>
          <w:szCs w:val="21"/>
          <w:lang w:val="zh-CN"/>
        </w:rPr>
        <w:t xml:space="preserve"> 维修或售后服务承诺书。</w:t>
      </w:r>
    </w:p>
    <w:p w:rsidR="00C3347B" w:rsidRDefault="00C3347B" w:rsidP="00C3347B">
      <w:pPr>
        <w:numPr>
          <w:ilvl w:val="6"/>
          <w:numId w:val="8"/>
        </w:numPr>
        <w:spacing w:line="360" w:lineRule="auto"/>
        <w:ind w:left="0" w:firstLineChars="200" w:firstLine="420"/>
        <w:jc w:val="left"/>
        <w:rPr>
          <w:rFonts w:ascii="宋体" w:hAnsi="宋体" w:cs="宋体" w:hint="eastAsia"/>
          <w:bCs/>
          <w:szCs w:val="21"/>
        </w:rPr>
      </w:pPr>
      <w:r>
        <w:rPr>
          <w:rFonts w:ascii="宋体" w:hAnsi="宋体" w:cs="宋体" w:hint="eastAsia"/>
          <w:bCs/>
          <w:szCs w:val="21"/>
          <w:lang w:val="zh-CN"/>
        </w:rPr>
        <w:t>投标人必须提供广东省航空业务无线电监测网集成商（</w:t>
      </w:r>
      <w:r>
        <w:rPr>
          <w:rFonts w:ascii="宋体" w:hAnsi="宋体" w:cs="宋体" w:hint="eastAsia"/>
          <w:bCs/>
          <w:szCs w:val="21"/>
        </w:rPr>
        <w:t>成都大公博创信息技术有限公司</w:t>
      </w:r>
      <w:r>
        <w:rPr>
          <w:rFonts w:ascii="宋体" w:hAnsi="宋体" w:cs="宋体" w:hint="eastAsia"/>
          <w:bCs/>
          <w:szCs w:val="21"/>
          <w:lang w:val="zh-CN"/>
        </w:rPr>
        <w:t>）的维修或售后服务承诺书。</w:t>
      </w:r>
    </w:p>
    <w:p w:rsidR="00C3347B" w:rsidRDefault="00C3347B" w:rsidP="00C3347B">
      <w:pPr>
        <w:spacing w:line="360" w:lineRule="auto"/>
        <w:ind w:leftChars="200" w:left="420"/>
        <w:jc w:val="left"/>
        <w:rPr>
          <w:rFonts w:ascii="宋体" w:hAnsi="宋体" w:cs="宋体" w:hint="eastAsia"/>
          <w:b/>
          <w:szCs w:val="21"/>
          <w:lang w:val="zh-CN"/>
        </w:rPr>
      </w:pPr>
      <w:r>
        <w:rPr>
          <w:rFonts w:ascii="宋体" w:hAnsi="宋体" w:cs="宋体" w:hint="eastAsia"/>
          <w:b/>
          <w:szCs w:val="21"/>
          <w:lang w:val="zh-CN"/>
        </w:rPr>
        <w:t>★（8）交接过程中发现的设备故障由中标人负责维修，相关费用由中标人负责。</w:t>
      </w:r>
    </w:p>
    <w:p w:rsidR="00C3347B" w:rsidRDefault="00C3347B" w:rsidP="00C3347B">
      <w:pPr>
        <w:spacing w:line="360" w:lineRule="auto"/>
        <w:ind w:leftChars="200" w:left="420"/>
        <w:jc w:val="left"/>
        <w:rPr>
          <w:rFonts w:ascii="宋体" w:hAnsi="宋体" w:cs="宋体" w:hint="eastAsia"/>
          <w:b/>
          <w:szCs w:val="21"/>
        </w:rPr>
      </w:pPr>
      <w:r>
        <w:rPr>
          <w:rFonts w:ascii="宋体" w:hAnsi="宋体" w:cs="宋体" w:hint="eastAsia"/>
          <w:b/>
          <w:szCs w:val="21"/>
        </w:rPr>
        <w:t>★（9）中标人须承诺对本项目专账管理核算并且建立工作记录台账附于项目验收报告中。</w:t>
      </w:r>
    </w:p>
    <w:p w:rsidR="00C3347B" w:rsidRDefault="00C3347B" w:rsidP="00C3347B">
      <w:pPr>
        <w:tabs>
          <w:tab w:val="left" w:pos="636"/>
        </w:tabs>
        <w:spacing w:line="360" w:lineRule="auto"/>
        <w:ind w:leftChars="200" w:left="420"/>
        <w:jc w:val="left"/>
        <w:rPr>
          <w:rFonts w:ascii="宋体" w:hAnsi="宋体" w:cs="宋体" w:hint="eastAsia"/>
          <w:szCs w:val="21"/>
        </w:rPr>
      </w:pPr>
      <w:r>
        <w:rPr>
          <w:rFonts w:ascii="宋体" w:hAnsi="宋体" w:cs="宋体" w:hint="eastAsia"/>
          <w:szCs w:val="21"/>
        </w:rPr>
        <w:t>（10）中标人需按照采购人要求进行成本披露，并作为项目验收文件备查。</w:t>
      </w:r>
    </w:p>
    <w:p w:rsidR="00C3347B" w:rsidRDefault="00C3347B" w:rsidP="00C3347B">
      <w:pPr>
        <w:tabs>
          <w:tab w:val="left" w:pos="636"/>
        </w:tabs>
        <w:spacing w:line="360" w:lineRule="auto"/>
        <w:ind w:leftChars="200" w:left="420"/>
        <w:jc w:val="left"/>
        <w:rPr>
          <w:rFonts w:ascii="宋体" w:hAnsi="宋体" w:cs="宋体" w:hint="eastAsia"/>
          <w:szCs w:val="21"/>
        </w:rPr>
      </w:pPr>
      <w:r>
        <w:rPr>
          <w:rFonts w:ascii="宋体" w:hAnsi="宋体" w:cs="宋体" w:hint="eastAsia"/>
          <w:szCs w:val="21"/>
        </w:rPr>
        <w:t>（11）中标人须配合采购人开展本项目相关的审计、验收、绩效评价工作，不受服务期限限制。政府有关审计检查时 中标人应无条件配合。</w:t>
      </w:r>
    </w:p>
    <w:p w:rsidR="00C3347B" w:rsidRDefault="00C3347B" w:rsidP="00C3347B">
      <w:pPr>
        <w:tabs>
          <w:tab w:val="left" w:pos="636"/>
        </w:tabs>
        <w:spacing w:line="360" w:lineRule="auto"/>
        <w:ind w:leftChars="200" w:left="420"/>
        <w:jc w:val="left"/>
        <w:rPr>
          <w:rFonts w:ascii="宋体" w:hAnsi="宋体" w:cs="宋体" w:hint="eastAsia"/>
          <w:szCs w:val="21"/>
        </w:rPr>
      </w:pPr>
      <w:r>
        <w:rPr>
          <w:rFonts w:ascii="宋体" w:hAnsi="宋体" w:cs="宋体" w:hint="eastAsia"/>
          <w:szCs w:val="21"/>
        </w:rPr>
        <w:t>（12）除保密法规另有规定情形以外，合同订立的相关保密条款应不干涉采购人资金管理工作的开展。</w:t>
      </w:r>
    </w:p>
    <w:p w:rsidR="00C3347B" w:rsidRDefault="00C3347B" w:rsidP="00C3347B">
      <w:pPr>
        <w:widowControl/>
        <w:numPr>
          <w:ilvl w:val="0"/>
          <w:numId w:val="1"/>
        </w:numPr>
        <w:tabs>
          <w:tab w:val="left" w:pos="424"/>
        </w:tabs>
        <w:spacing w:line="360" w:lineRule="auto"/>
        <w:ind w:firstLineChars="200" w:firstLine="422"/>
        <w:outlineLvl w:val="3"/>
        <w:rPr>
          <w:rFonts w:ascii="宋体" w:hAnsi="宋体" w:cs="宋体" w:hint="eastAsia"/>
          <w:b/>
          <w:szCs w:val="21"/>
        </w:rPr>
      </w:pPr>
      <w:r>
        <w:rPr>
          <w:rFonts w:ascii="宋体" w:hAnsi="宋体" w:cs="宋体" w:hint="eastAsia"/>
          <w:b/>
          <w:szCs w:val="21"/>
        </w:rPr>
        <w:t>维保范围</w:t>
      </w:r>
    </w:p>
    <w:p w:rsidR="00C3347B" w:rsidRDefault="00C3347B" w:rsidP="00C3347B">
      <w:pPr>
        <w:spacing w:line="360" w:lineRule="auto"/>
        <w:ind w:firstLineChars="200" w:firstLine="420"/>
        <w:jc w:val="left"/>
        <w:rPr>
          <w:rFonts w:ascii="宋体" w:hAnsi="宋体" w:cs="宋体" w:hint="eastAsia"/>
          <w:szCs w:val="21"/>
        </w:rPr>
      </w:pPr>
      <w:r>
        <w:rPr>
          <w:rFonts w:ascii="宋体" w:hAnsi="宋体" w:cs="宋体" w:hint="eastAsia"/>
          <w:szCs w:val="21"/>
        </w:rPr>
        <w:t>根据我省的实际情况，此次维保范围是针对已过质保期的广东省航空业务无线电监测网站点及相关小型监测站购买维保服务。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905"/>
        <w:gridCol w:w="2243"/>
        <w:gridCol w:w="1605"/>
        <w:gridCol w:w="1635"/>
      </w:tblGrid>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序号</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站点名称</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核心设备</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类型</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揭阳潮汕机场站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DG-R2203</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航空站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广州市西岭站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EM050</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航空站</w:t>
            </w:r>
          </w:p>
        </w:tc>
      </w:tr>
      <w:tr w:rsidR="00C3347B" w:rsidTr="008571DC">
        <w:trPr>
          <w:trHeight w:val="525"/>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韶关市南雄民航导航台</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XE、EM050</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航空站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佛山市大南山站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DG-R2203</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航空站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中山市中山港站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EM050</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航空站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江门市大岭山站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EM050</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航空站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7</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云浮市大绀山站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EM050</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航空站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lastRenderedPageBreak/>
              <w:t>8</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清远飞霞大厦站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DG-R2203</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航空站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惠州机场监测站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DG-R2203</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航空站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10</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云浮罗定站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DG-R2203</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航空站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11</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珠海石花山站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DG-R2203</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航空站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12</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梅州机场站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DG-R2203</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航空站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13</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汕尾市海丰监测站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DG-R2205</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维护小型站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14</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汕尾市陆丰监测站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DG-R2205</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维护小型站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15</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江门市棠下监测站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DG-R2205</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维护小型站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江门市司前天等站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DG-R2205</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维护小型站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17</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江门大田二站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DG-R2205</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维护小型站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18</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江门崖南站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DG-R2205</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维护小型站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19</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清远连山小型站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DG-R2205</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维护小型站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20</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梅州市梅县监测站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DG-R2205</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维护小型站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梅州市蕉岭监测站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DG-R2205</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维护小型站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22</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潮州市中心监测站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DG-R2205</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维护小型站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23</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潮州市饶平监测站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DG-R2205</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维护小型站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24</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韶关市乳源监测站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DG-R2205</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维护小型站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25</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韶关市始兴监测站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DG-R2205</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维护小型站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26</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河源连平站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DG-R2205</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维护小型站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27</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揭阳市中心监测站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DG-R2205</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维护小型站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28</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揭阳市揭西站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DG-R2205</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维护小型站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29</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阳江市北惯镇站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DG-R2205</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维护小型站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30</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阳江海陵岛站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DG-R2205</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维护小型站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31</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惠州世贸大厦站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DG-R2205</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维护小型站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惠州长江实业站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DG-R2205</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维护小型站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33</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惠州下角站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DG-R2205</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维护小型站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34</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云浮郁南县城站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DG-R2205</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维护小型站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35</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云浮新兴县级站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DG-R2205</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维护小型站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36</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肇庆市麒麟山站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DG-R2205</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维护小型站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37</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肇庆鼎湖站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DG-R2205</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维护小型站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38</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肇庆广宁站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DG-R2205</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维护小型站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39</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珠海市桂山岛站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DG-R2205</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维护小型站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40</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珠海市拱北站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DG-R2205</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维护小型站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41</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珠海横琴站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DG-R2205</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维护小型站</w:t>
            </w:r>
          </w:p>
        </w:tc>
      </w:tr>
      <w:tr w:rsidR="00C3347B" w:rsidTr="008571DC">
        <w:trPr>
          <w:trHeight w:val="425"/>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42</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珠海莲洲（通用机场）站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DG-R2205</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维护小型站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43</w:t>
            </w:r>
          </w:p>
        </w:tc>
        <w:tc>
          <w:tcPr>
            <w:tcW w:w="2243" w:type="dxa"/>
            <w:vAlign w:val="center"/>
          </w:tcPr>
          <w:p w:rsidR="00C3347B" w:rsidRDefault="00C3347B" w:rsidP="008571DC">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河源和平站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AR-one</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维修升级小型站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2243" w:type="dxa"/>
            <w:vAlign w:val="center"/>
          </w:tcPr>
          <w:p w:rsidR="00C3347B" w:rsidRDefault="00C3347B" w:rsidP="008571DC">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河源紫金站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AR-one</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维修升级小型站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45</w:t>
            </w:r>
          </w:p>
        </w:tc>
        <w:tc>
          <w:tcPr>
            <w:tcW w:w="2243" w:type="dxa"/>
            <w:vAlign w:val="center"/>
          </w:tcPr>
          <w:p w:rsidR="00C3347B" w:rsidRDefault="00C3347B" w:rsidP="008571DC">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阳江高新区站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MS835</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维修升级小型站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lastRenderedPageBreak/>
              <w:t>46</w:t>
            </w:r>
          </w:p>
        </w:tc>
        <w:tc>
          <w:tcPr>
            <w:tcW w:w="2243"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江门荷塘站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MS835S</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维修升级小型站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47</w:t>
            </w:r>
          </w:p>
        </w:tc>
        <w:tc>
          <w:tcPr>
            <w:tcW w:w="2243" w:type="dxa"/>
            <w:vAlign w:val="center"/>
          </w:tcPr>
          <w:p w:rsidR="00C3347B" w:rsidRDefault="00C3347B" w:rsidP="008571DC">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惠州一中站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RF Sensor</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维修升级小型站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2243" w:type="dxa"/>
            <w:vAlign w:val="center"/>
          </w:tcPr>
          <w:p w:rsidR="00C3347B" w:rsidRDefault="00C3347B" w:rsidP="008571DC">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惠州大亚湾石化站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RF Sensor</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维修升级小型站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49</w:t>
            </w:r>
          </w:p>
        </w:tc>
        <w:tc>
          <w:tcPr>
            <w:tcW w:w="2243" w:type="dxa"/>
            <w:vAlign w:val="center"/>
          </w:tcPr>
          <w:p w:rsidR="00C3347B" w:rsidRDefault="00C3347B" w:rsidP="008571DC">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珠海湾仔码头站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AR5000</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维修升级小型站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50</w:t>
            </w:r>
          </w:p>
        </w:tc>
        <w:tc>
          <w:tcPr>
            <w:tcW w:w="2243" w:type="dxa"/>
            <w:vAlign w:val="center"/>
          </w:tcPr>
          <w:p w:rsidR="00C3347B" w:rsidRDefault="00C3347B" w:rsidP="008571DC">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珠海斗门大厦站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AR5000</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维修升级小型站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51</w:t>
            </w:r>
          </w:p>
        </w:tc>
        <w:tc>
          <w:tcPr>
            <w:tcW w:w="2243" w:type="dxa"/>
            <w:vAlign w:val="center"/>
          </w:tcPr>
          <w:p w:rsidR="00C3347B" w:rsidRDefault="00C3347B" w:rsidP="008571DC">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中山小榄小型站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ARONE</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维修升级小型站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52</w:t>
            </w:r>
          </w:p>
        </w:tc>
        <w:tc>
          <w:tcPr>
            <w:tcW w:w="2243" w:type="dxa"/>
            <w:vAlign w:val="center"/>
          </w:tcPr>
          <w:p w:rsidR="00C3347B" w:rsidRDefault="00C3347B" w:rsidP="008571DC">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中山三乡小型站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ARONE</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维修升级小型站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53</w:t>
            </w:r>
          </w:p>
        </w:tc>
        <w:tc>
          <w:tcPr>
            <w:tcW w:w="2243" w:type="dxa"/>
            <w:vAlign w:val="center"/>
          </w:tcPr>
          <w:p w:rsidR="00C3347B" w:rsidRDefault="00C3347B" w:rsidP="008571DC">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云浮新区小型站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MS835</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维修升级小型站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54</w:t>
            </w:r>
          </w:p>
        </w:tc>
        <w:tc>
          <w:tcPr>
            <w:tcW w:w="2243" w:type="dxa"/>
            <w:vAlign w:val="center"/>
          </w:tcPr>
          <w:p w:rsidR="00C3347B" w:rsidRDefault="00C3347B" w:rsidP="008571DC">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湛江麻章站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HRS11B</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维修升级小型站</w:t>
            </w:r>
          </w:p>
        </w:tc>
      </w:tr>
      <w:tr w:rsidR="00C3347B" w:rsidTr="008571DC">
        <w:trPr>
          <w:trHeight w:val="286"/>
          <w:jc w:val="center"/>
        </w:trPr>
        <w:tc>
          <w:tcPr>
            <w:tcW w:w="9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55</w:t>
            </w:r>
          </w:p>
        </w:tc>
        <w:tc>
          <w:tcPr>
            <w:tcW w:w="2243" w:type="dxa"/>
            <w:vAlign w:val="center"/>
          </w:tcPr>
          <w:p w:rsidR="00C3347B" w:rsidRDefault="00C3347B" w:rsidP="008571DC">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湛江徐闻站</w:t>
            </w:r>
          </w:p>
        </w:tc>
        <w:tc>
          <w:tcPr>
            <w:tcW w:w="160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HRS11B</w:t>
            </w:r>
          </w:p>
        </w:tc>
        <w:tc>
          <w:tcPr>
            <w:tcW w:w="1635" w:type="dxa"/>
            <w:vAlign w:val="center"/>
          </w:tcPr>
          <w:p w:rsidR="00C3347B" w:rsidRDefault="00C3347B" w:rsidP="008571DC">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维修升级小型站</w:t>
            </w:r>
          </w:p>
        </w:tc>
      </w:tr>
    </w:tbl>
    <w:p w:rsidR="00C3347B" w:rsidRDefault="00C3347B" w:rsidP="00C3347B">
      <w:pPr>
        <w:spacing w:line="360" w:lineRule="auto"/>
        <w:rPr>
          <w:rStyle w:val="NormalCharacter"/>
          <w:rFonts w:ascii="宋体" w:hAnsi="宋体" w:cs="宋体" w:hint="eastAsia"/>
        </w:rPr>
      </w:pPr>
    </w:p>
    <w:p w:rsidR="00C3347B" w:rsidRDefault="00C3347B" w:rsidP="00C3347B">
      <w:r>
        <w:rPr>
          <w:rFonts w:hAnsi="宋体" w:cs="宋体" w:hint="eastAsia"/>
        </w:rPr>
        <w:br w:type="page"/>
      </w:r>
    </w:p>
    <w:sectPr w:rsidR="00C3347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A5B" w:rsidRDefault="00724A5B" w:rsidP="00C3347B">
      <w:r>
        <w:separator/>
      </w:r>
    </w:p>
  </w:endnote>
  <w:endnote w:type="continuationSeparator" w:id="0">
    <w:p w:rsidR="00724A5B" w:rsidRDefault="00724A5B" w:rsidP="00C3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002969"/>
      <w:docPartObj>
        <w:docPartGallery w:val="Page Numbers (Bottom of Page)"/>
        <w:docPartUnique/>
      </w:docPartObj>
    </w:sdtPr>
    <w:sdtContent>
      <w:p w:rsidR="00C3347B" w:rsidRDefault="00C3347B">
        <w:pPr>
          <w:pStyle w:val="a8"/>
          <w:jc w:val="center"/>
        </w:pPr>
        <w:r>
          <w:fldChar w:fldCharType="begin"/>
        </w:r>
        <w:r>
          <w:instrText>PAGE   \* MERGEFORMAT</w:instrText>
        </w:r>
        <w:r>
          <w:fldChar w:fldCharType="separate"/>
        </w:r>
        <w:r>
          <w:rPr>
            <w:lang w:val="zh-CN"/>
          </w:rPr>
          <w:t>2</w:t>
        </w:r>
        <w:r>
          <w:fldChar w:fldCharType="end"/>
        </w:r>
      </w:p>
    </w:sdtContent>
  </w:sdt>
  <w:p w:rsidR="00C3347B" w:rsidRDefault="00C3347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A5B" w:rsidRDefault="00724A5B" w:rsidP="00C3347B">
      <w:r>
        <w:separator/>
      </w:r>
    </w:p>
  </w:footnote>
  <w:footnote w:type="continuationSeparator" w:id="0">
    <w:p w:rsidR="00724A5B" w:rsidRDefault="00724A5B" w:rsidP="00C33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7578A"/>
    <w:multiLevelType w:val="multilevel"/>
    <w:tmpl w:val="0EA7578A"/>
    <w:lvl w:ilvl="0">
      <w:start w:val="1"/>
      <w:numFmt w:val="decimal"/>
      <w:lvlText w:val="（%1）"/>
      <w:lvlJc w:val="left"/>
      <w:pPr>
        <w:ind w:left="3360" w:hanging="420"/>
      </w:pPr>
      <w:rPr>
        <w:rFonts w:hint="eastAsia"/>
      </w:rPr>
    </w:lvl>
    <w:lvl w:ilvl="1">
      <w:start w:val="1"/>
      <w:numFmt w:val="lowerLetter"/>
      <w:lvlText w:val="%2)"/>
      <w:lvlJc w:val="left"/>
      <w:pPr>
        <w:ind w:left="3780" w:hanging="420"/>
      </w:pPr>
    </w:lvl>
    <w:lvl w:ilvl="2">
      <w:start w:val="1"/>
      <w:numFmt w:val="lowerRoman"/>
      <w:lvlText w:val="%3."/>
      <w:lvlJc w:val="right"/>
      <w:pPr>
        <w:ind w:left="4200" w:hanging="420"/>
      </w:pPr>
    </w:lvl>
    <w:lvl w:ilvl="3">
      <w:start w:val="1"/>
      <w:numFmt w:val="decimal"/>
      <w:lvlText w:val="%4."/>
      <w:lvlJc w:val="left"/>
      <w:pPr>
        <w:ind w:left="4620" w:hanging="420"/>
      </w:pPr>
    </w:lvl>
    <w:lvl w:ilvl="4">
      <w:start w:val="1"/>
      <w:numFmt w:val="lowerLetter"/>
      <w:lvlText w:val="%5)"/>
      <w:lvlJc w:val="left"/>
      <w:pPr>
        <w:ind w:left="5040" w:hanging="420"/>
      </w:pPr>
    </w:lvl>
    <w:lvl w:ilvl="5">
      <w:start w:val="1"/>
      <w:numFmt w:val="lowerRoman"/>
      <w:lvlText w:val="%6."/>
      <w:lvlJc w:val="right"/>
      <w:pPr>
        <w:ind w:left="5460" w:hanging="420"/>
      </w:pPr>
    </w:lvl>
    <w:lvl w:ilvl="6">
      <w:start w:val="1"/>
      <w:numFmt w:val="decimal"/>
      <w:lvlText w:val="%7."/>
      <w:lvlJc w:val="left"/>
      <w:pPr>
        <w:ind w:left="5880" w:hanging="420"/>
      </w:pPr>
    </w:lvl>
    <w:lvl w:ilvl="7">
      <w:start w:val="1"/>
      <w:numFmt w:val="lowerLetter"/>
      <w:lvlText w:val="%8)"/>
      <w:lvlJc w:val="left"/>
      <w:pPr>
        <w:ind w:left="6300" w:hanging="420"/>
      </w:pPr>
    </w:lvl>
    <w:lvl w:ilvl="8">
      <w:start w:val="1"/>
      <w:numFmt w:val="lowerRoman"/>
      <w:lvlText w:val="%9."/>
      <w:lvlJc w:val="right"/>
      <w:pPr>
        <w:ind w:left="6720" w:hanging="420"/>
      </w:pPr>
    </w:lvl>
  </w:abstractNum>
  <w:abstractNum w:abstractNumId="1" w15:restartNumberingAfterBreak="0">
    <w:nsid w:val="1FFD5DD7"/>
    <w:multiLevelType w:val="multilevel"/>
    <w:tmpl w:val="1FFD5DD7"/>
    <w:lvl w:ilvl="0">
      <w:start w:val="1"/>
      <w:numFmt w:val="lowerRoman"/>
      <w:lvlText w:val="%1."/>
      <w:lvlJc w:val="righ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25673CD"/>
    <w:multiLevelType w:val="multilevel"/>
    <w:tmpl w:val="225673CD"/>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34D22A86"/>
    <w:multiLevelType w:val="multilevel"/>
    <w:tmpl w:val="34D22A86"/>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1129" w:hanging="420"/>
      </w:pPr>
      <w:rPr>
        <w:rFonts w:hint="eastAsia"/>
      </w:r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F2B1742"/>
    <w:multiLevelType w:val="singleLevel"/>
    <w:tmpl w:val="3F2B1742"/>
    <w:lvl w:ilvl="0">
      <w:start w:val="1"/>
      <w:numFmt w:val="decimal"/>
      <w:suff w:val="nothing"/>
      <w:lvlText w:val="%1、"/>
      <w:lvlJc w:val="left"/>
      <w:pPr>
        <w:ind w:left="0" w:firstLine="0"/>
      </w:pPr>
      <w:rPr>
        <w:rFonts w:hint="eastAsia"/>
      </w:rPr>
    </w:lvl>
  </w:abstractNum>
  <w:abstractNum w:abstractNumId="5" w15:restartNumberingAfterBreak="0">
    <w:nsid w:val="4AE02B38"/>
    <w:multiLevelType w:val="multilevel"/>
    <w:tmpl w:val="4AE02B38"/>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rPr>
        <w:rFonts w:hint="eastAsia"/>
      </w:r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5EE6E044"/>
    <w:multiLevelType w:val="singleLevel"/>
    <w:tmpl w:val="5EE6E044"/>
    <w:lvl w:ilvl="0">
      <w:start w:val="1"/>
      <w:numFmt w:val="bullet"/>
      <w:lvlText w:val=""/>
      <w:lvlJc w:val="left"/>
      <w:pPr>
        <w:ind w:left="420" w:hanging="420"/>
      </w:pPr>
      <w:rPr>
        <w:rFonts w:ascii="Wingdings" w:hAnsi="Wingdings" w:hint="default"/>
      </w:rPr>
    </w:lvl>
  </w:abstractNum>
  <w:abstractNum w:abstractNumId="7" w15:restartNumberingAfterBreak="0">
    <w:nsid w:val="60432A4D"/>
    <w:multiLevelType w:val="multilevel"/>
    <w:tmpl w:val="60432A4D"/>
    <w:lvl w:ilvl="0">
      <w:start w:val="1"/>
      <w:numFmt w:val="decimal"/>
      <w:lvlText w:val="（%1）"/>
      <w:lvlJc w:val="left"/>
      <w:pPr>
        <w:ind w:left="3360" w:hanging="420"/>
      </w:pPr>
      <w:rPr>
        <w:rFonts w:hint="eastAsia"/>
      </w:rPr>
    </w:lvl>
    <w:lvl w:ilvl="1">
      <w:start w:val="1"/>
      <w:numFmt w:val="lowerLetter"/>
      <w:lvlText w:val="%2)"/>
      <w:lvlJc w:val="left"/>
      <w:pPr>
        <w:ind w:left="3780" w:hanging="420"/>
      </w:pPr>
    </w:lvl>
    <w:lvl w:ilvl="2">
      <w:start w:val="1"/>
      <w:numFmt w:val="lowerRoman"/>
      <w:lvlText w:val="%3."/>
      <w:lvlJc w:val="right"/>
      <w:pPr>
        <w:ind w:left="4200" w:hanging="420"/>
      </w:pPr>
    </w:lvl>
    <w:lvl w:ilvl="3">
      <w:start w:val="1"/>
      <w:numFmt w:val="decimal"/>
      <w:lvlText w:val="%4."/>
      <w:lvlJc w:val="left"/>
      <w:pPr>
        <w:ind w:left="4620" w:hanging="420"/>
      </w:pPr>
    </w:lvl>
    <w:lvl w:ilvl="4">
      <w:start w:val="1"/>
      <w:numFmt w:val="lowerLetter"/>
      <w:lvlText w:val="%5)"/>
      <w:lvlJc w:val="left"/>
      <w:pPr>
        <w:ind w:left="5040" w:hanging="420"/>
      </w:pPr>
    </w:lvl>
    <w:lvl w:ilvl="5">
      <w:start w:val="1"/>
      <w:numFmt w:val="lowerRoman"/>
      <w:lvlText w:val="%6."/>
      <w:lvlJc w:val="right"/>
      <w:pPr>
        <w:ind w:left="5460" w:hanging="420"/>
      </w:pPr>
    </w:lvl>
    <w:lvl w:ilvl="6">
      <w:start w:val="1"/>
      <w:numFmt w:val="decimal"/>
      <w:lvlText w:val="%7."/>
      <w:lvlJc w:val="left"/>
      <w:pPr>
        <w:ind w:left="5880" w:hanging="420"/>
      </w:pPr>
    </w:lvl>
    <w:lvl w:ilvl="7">
      <w:start w:val="1"/>
      <w:numFmt w:val="lowerLetter"/>
      <w:lvlText w:val="%8)"/>
      <w:lvlJc w:val="left"/>
      <w:pPr>
        <w:ind w:left="6300" w:hanging="420"/>
      </w:pPr>
    </w:lvl>
    <w:lvl w:ilvl="8">
      <w:start w:val="1"/>
      <w:numFmt w:val="lowerRoman"/>
      <w:lvlText w:val="%9."/>
      <w:lvlJc w:val="right"/>
      <w:pPr>
        <w:ind w:left="6720" w:hanging="420"/>
      </w:pPr>
    </w:lvl>
  </w:abstractNum>
  <w:num w:numId="1">
    <w:abstractNumId w:val="4"/>
  </w:num>
  <w:num w:numId="2">
    <w:abstractNumId w:val="5"/>
  </w:num>
  <w:num w:numId="3">
    <w:abstractNumId w:val="2"/>
  </w:num>
  <w:num w:numId="4">
    <w:abstractNumId w:val="1"/>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7B"/>
    <w:rsid w:val="00724A5B"/>
    <w:rsid w:val="00C33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AC6B2"/>
  <w15:chartTrackingRefBased/>
  <w15:docId w15:val="{455FF14C-1123-404C-A0C1-5B1A0258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3347B"/>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sid w:val="00C3347B"/>
    <w:rPr>
      <w:sz w:val="21"/>
      <w:szCs w:val="21"/>
    </w:rPr>
  </w:style>
  <w:style w:type="character" w:customStyle="1" w:styleId="NormalCharacter">
    <w:name w:val="NormalCharacter"/>
    <w:qFormat/>
    <w:rsid w:val="00C3347B"/>
  </w:style>
  <w:style w:type="paragraph" w:styleId="a0">
    <w:name w:val="Body Text"/>
    <w:basedOn w:val="a"/>
    <w:link w:val="a5"/>
    <w:uiPriority w:val="99"/>
    <w:semiHidden/>
    <w:unhideWhenUsed/>
    <w:rsid w:val="00C3347B"/>
    <w:pPr>
      <w:spacing w:after="120"/>
    </w:pPr>
  </w:style>
  <w:style w:type="character" w:customStyle="1" w:styleId="a5">
    <w:name w:val="正文文本 字符"/>
    <w:basedOn w:val="a1"/>
    <w:link w:val="a0"/>
    <w:uiPriority w:val="99"/>
    <w:semiHidden/>
    <w:rsid w:val="00C3347B"/>
    <w:rPr>
      <w:rFonts w:ascii="Times New Roman" w:eastAsia="宋体" w:hAnsi="Times New Roman" w:cs="Times New Roman"/>
      <w:szCs w:val="20"/>
    </w:rPr>
  </w:style>
  <w:style w:type="paragraph" w:styleId="a6">
    <w:name w:val="header"/>
    <w:basedOn w:val="a"/>
    <w:link w:val="a7"/>
    <w:uiPriority w:val="99"/>
    <w:unhideWhenUsed/>
    <w:rsid w:val="00C3347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C3347B"/>
    <w:rPr>
      <w:rFonts w:ascii="Times New Roman" w:eastAsia="宋体" w:hAnsi="Times New Roman" w:cs="Times New Roman"/>
      <w:sz w:val="18"/>
      <w:szCs w:val="18"/>
    </w:rPr>
  </w:style>
  <w:style w:type="paragraph" w:styleId="a8">
    <w:name w:val="footer"/>
    <w:basedOn w:val="a"/>
    <w:link w:val="a9"/>
    <w:uiPriority w:val="99"/>
    <w:unhideWhenUsed/>
    <w:rsid w:val="00C3347B"/>
    <w:pPr>
      <w:tabs>
        <w:tab w:val="center" w:pos="4153"/>
        <w:tab w:val="right" w:pos="8306"/>
      </w:tabs>
      <w:snapToGrid w:val="0"/>
      <w:jc w:val="left"/>
    </w:pPr>
    <w:rPr>
      <w:sz w:val="18"/>
      <w:szCs w:val="18"/>
    </w:rPr>
  </w:style>
  <w:style w:type="character" w:customStyle="1" w:styleId="a9">
    <w:name w:val="页脚 字符"/>
    <w:basedOn w:val="a1"/>
    <w:link w:val="a8"/>
    <w:uiPriority w:val="99"/>
    <w:rsid w:val="00C3347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842</Words>
  <Characters>4805</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莫健勋</dc:creator>
  <cp:keywords/>
  <dc:description/>
  <cp:lastModifiedBy>莫健勋</cp:lastModifiedBy>
  <cp:revision>1</cp:revision>
  <dcterms:created xsi:type="dcterms:W3CDTF">2021-05-28T11:37:00Z</dcterms:created>
  <dcterms:modified xsi:type="dcterms:W3CDTF">2021-05-28T11:38:00Z</dcterms:modified>
</cp:coreProperties>
</file>